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020 - Procedimento para Realização de Serviços Farmacêuticos (Outros Serviços Permitidos)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a realização de outros serviços farmacêuticos permitidos na</w:t>
      </w:r>
      <w:r>
        <w:t xml:space="preserve"> </w:t>
      </w:r>
      <w:r>
        <w:rPr>
          <w:b/>
        </w:rPr>
        <w:t xml:space="preserve">[Nome da Drogaria]</w:t>
      </w:r>
      <w:r>
        <w:t xml:space="preserve">, como aferição de parâmetros fisiológicos (pressão arterial, temperatura corporal), aferição de parâmetro bioquímico (glicemia capilar) e [incluir outros se aplicável, ex: perfuração de lóbulo auricular, nebulização - verificar permissão legal], garantindo a qualidade, segurança do paciente e do profissional, e o cumprimento da RDC 44/2009 e normas profissionais.</w:t>
      </w:r>
    </w:p>
    <w:p>
      <w:pPr>
        <w:pStyle w:val="BodyText"/>
      </w:pPr>
      <w:r>
        <w:rPr>
          <w:b/>
        </w:rPr>
        <w:t xml:space="preserve">Nota:</w:t>
      </w:r>
      <w:r>
        <w:t xml:space="preserve"> </w:t>
      </w:r>
      <w:r>
        <w:t xml:space="preserve">A aplicação de medicamentos injetáveis é tratada no</w:t>
      </w:r>
      <w:r>
        <w:t xml:space="preserve"> </w:t>
      </w:r>
      <w:r>
        <w:rPr>
          <w:b/>
        </w:rPr>
        <w:t xml:space="preserve">POP 019</w:t>
      </w:r>
      <w:r>
        <w:t xml:space="preserve">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à realização dos serviços farmacêuticos mencionados acima, executados exclusivamente por farmacêutico habilitado, na sala de serviços farmacêuticos da drogaria.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 (e Farmacêutico Substituto Habilitado):</w:t>
      </w:r>
      <w:r>
        <w:t xml:space="preserve"> </w:t>
      </w:r>
      <w:r>
        <w:t xml:space="preserve">É o</w:t>
      </w:r>
      <w:r>
        <w:t xml:space="preserve"> </w:t>
      </w:r>
      <w:r>
        <w:rPr>
          <w:b/>
        </w:rPr>
        <w:t xml:space="preserve">ÚNICO</w:t>
      </w:r>
      <w:r>
        <w:t xml:space="preserve"> </w:t>
      </w:r>
      <w:r>
        <w:t xml:space="preserve">profissional autorizado a realizar estes serviços farmacêuticos. Deve possuir capacitação técnica comprovada para cada serviço oferecido. É responsável pela avaliação da necessidade/indicação (quando aplicável), execução da técnica correta, orientação ao paciente, higienização de equipamentos, descarte de resíduos e registro do procedimento.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Legal:</w:t>
      </w:r>
      <w:r>
        <w:t xml:space="preserve"> </w:t>
      </w:r>
      <w:r>
        <w:t xml:space="preserve">Garantir a infraestrutura adequada (sala de serviços), equipamentos calibrados e materiais necessários (lancetas, fitas reagentes, termômetro, esfigmomanômetro, algodão, antisséptico, EPIs, etc.).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Demais Funcionários:</w:t>
      </w:r>
      <w:r>
        <w:t xml:space="preserve"> </w:t>
      </w:r>
      <w:r>
        <w:t xml:space="preserve">Encaminhar o paciente que solicita o serviço ao farmacêutico.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realizar nenhum destes procedimentos.</w:t>
      </w:r>
    </w:p>
    <w:p>
      <w:pPr>
        <w:pStyle w:val="FirstParagraph"/>
      </w:pPr>
      <w:r>
        <w:rPr>
          <w:b/>
        </w:rPr>
        <w:t xml:space="preserve">4. MATERIAIS E EQUIPAMENTOS (Exemplos - Adaptar à realidade)</w:t>
      </w:r>
    </w:p>
    <w:p>
      <w:pPr>
        <w:numPr>
          <w:ilvl w:val="0"/>
          <w:numId w:val="1002"/>
        </w:numPr>
        <w:pStyle w:val="Compact"/>
      </w:pPr>
      <w:r>
        <w:t xml:space="preserve">Sala de serviços farmacêuticos adequada (</w:t>
      </w:r>
      <w:r>
        <w:rPr>
          <w:b/>
        </w:rPr>
        <w:t xml:space="preserve">POP 007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Para Aferição de Pressão Arterial:</w:t>
      </w:r>
    </w:p>
    <w:p>
      <w:pPr>
        <w:numPr>
          <w:ilvl w:val="1"/>
          <w:numId w:val="1003"/>
        </w:numPr>
        <w:pStyle w:val="Compact"/>
      </w:pPr>
      <w:r>
        <w:t xml:space="preserve">Esfigmomanômetro (aneroide ou digital) calibrado e certificado pelo INMETRO.</w:t>
      </w:r>
    </w:p>
    <w:p>
      <w:pPr>
        <w:numPr>
          <w:ilvl w:val="1"/>
          <w:numId w:val="1003"/>
        </w:numPr>
        <w:pStyle w:val="Compact"/>
      </w:pPr>
      <w:r>
        <w:t xml:space="preserve">Estetoscópio (se usar aneroide).</w:t>
      </w:r>
    </w:p>
    <w:p>
      <w:pPr>
        <w:numPr>
          <w:ilvl w:val="1"/>
          <w:numId w:val="1003"/>
        </w:numPr>
        <w:pStyle w:val="Compact"/>
      </w:pPr>
      <w:r>
        <w:t xml:space="preserve">Manguitos de tamanhos adequados (infantil, adulto, obeso).</w:t>
      </w:r>
    </w:p>
    <w:p>
      <w:pPr>
        <w:numPr>
          <w:ilvl w:val="1"/>
          <w:numId w:val="1003"/>
        </w:numPr>
        <w:pStyle w:val="Compact"/>
      </w:pPr>
      <w:r>
        <w:t xml:space="preserve">Álcool 70% para higienização do diafragma do estetoscópio e olivas.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Para Aferição de Glicemia Capilar:</w:t>
      </w:r>
    </w:p>
    <w:p>
      <w:pPr>
        <w:numPr>
          <w:ilvl w:val="1"/>
          <w:numId w:val="1004"/>
        </w:numPr>
        <w:pStyle w:val="Compact"/>
      </w:pPr>
      <w:r>
        <w:t xml:space="preserve">Glicosímetro calibrado e com controle de qualidade periódico.</w:t>
      </w:r>
    </w:p>
    <w:p>
      <w:pPr>
        <w:numPr>
          <w:ilvl w:val="1"/>
          <w:numId w:val="1004"/>
        </w:numPr>
        <w:pStyle w:val="Compact"/>
      </w:pPr>
      <w:r>
        <w:t xml:space="preserve">Fitas reagentes compatíveis com o aparelho e dentro do prazo de validade.</w:t>
      </w:r>
    </w:p>
    <w:p>
      <w:pPr>
        <w:numPr>
          <w:ilvl w:val="1"/>
          <w:numId w:val="1004"/>
        </w:numPr>
        <w:pStyle w:val="Compact"/>
      </w:pPr>
      <w:r>
        <w:t xml:space="preserve">Lancetador automático e lancetas estéreis descartáveis.</w:t>
      </w:r>
    </w:p>
    <w:p>
      <w:pPr>
        <w:numPr>
          <w:ilvl w:val="1"/>
          <w:numId w:val="1004"/>
        </w:numPr>
        <w:pStyle w:val="Compact"/>
      </w:pPr>
      <w:r>
        <w:t xml:space="preserve">Algodão seco.</w:t>
      </w:r>
    </w:p>
    <w:p>
      <w:pPr>
        <w:numPr>
          <w:ilvl w:val="1"/>
          <w:numId w:val="1004"/>
        </w:numPr>
        <w:pStyle w:val="Compact"/>
      </w:pPr>
      <w:r>
        <w:t xml:space="preserve">Luvas de procedimento descartáveis (</w:t>
      </w:r>
      <w:r>
        <w:rPr>
          <w:b/>
        </w:rPr>
        <w:t xml:space="preserve">POP 018</w:t>
      </w:r>
      <w:r>
        <w:t xml:space="preserve">).</w:t>
      </w:r>
    </w:p>
    <w:p>
      <w:pPr>
        <w:numPr>
          <w:ilvl w:val="1"/>
          <w:numId w:val="1004"/>
        </w:numPr>
        <w:pStyle w:val="Compact"/>
      </w:pPr>
      <w:r>
        <w:t xml:space="preserve">Coletor rígido para descarte de lancetas e fitas usadas (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Para Aferição de Temperatura Corporal:</w:t>
      </w:r>
    </w:p>
    <w:p>
      <w:pPr>
        <w:numPr>
          <w:ilvl w:val="1"/>
          <w:numId w:val="1005"/>
        </w:numPr>
        <w:pStyle w:val="Compact"/>
      </w:pPr>
      <w:r>
        <w:t xml:space="preserve">Termômetro clínico (digital preferencialmente) calibrado.</w:t>
      </w:r>
    </w:p>
    <w:p>
      <w:pPr>
        <w:numPr>
          <w:ilvl w:val="1"/>
          <w:numId w:val="1005"/>
        </w:numPr>
        <w:pStyle w:val="Compact"/>
      </w:pPr>
      <w:r>
        <w:t xml:space="preserve">Protetores descartáveis para termômetro (se aplicável).</w:t>
      </w:r>
    </w:p>
    <w:p>
      <w:pPr>
        <w:numPr>
          <w:ilvl w:val="1"/>
          <w:numId w:val="1005"/>
        </w:numPr>
        <w:pStyle w:val="Compact"/>
      </w:pPr>
      <w:r>
        <w:t xml:space="preserve">Álcool 70% para higienização do termômetro.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[Para outros serviços, listar materiais específicos, ex: Para Perfuração de Lóbulo: Aplicador, brincos esterilizados, antisséptico, luvas]</w:t>
      </w:r>
    </w:p>
    <w:p>
      <w:pPr>
        <w:numPr>
          <w:ilvl w:val="0"/>
          <w:numId w:val="1002"/>
        </w:numPr>
        <w:pStyle w:val="Compact"/>
      </w:pPr>
      <w:r>
        <w:t xml:space="preserve">Formulário de Declaração de Serviço Farmacêutico (</w:t>
      </w:r>
      <w:r>
        <w:rPr>
          <w:b/>
        </w:rPr>
        <w:t xml:space="preserve">POP 007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Lixeira para resíduos comuns/infectantes (conforme PGRSS e</w:t>
      </w:r>
      <w:r>
        <w:t xml:space="preserve"> </w:t>
      </w:r>
      <w:r>
        <w:rPr>
          <w:b/>
        </w:rPr>
        <w:t xml:space="preserve">POP 008</w:t>
      </w:r>
      <w:r>
        <w:t xml:space="preserve">).</w:t>
      </w:r>
    </w:p>
    <w:p>
      <w:pPr>
        <w:pStyle w:val="FirstParagraph"/>
      </w:pPr>
      <w:r>
        <w:rPr>
          <w:b/>
        </w:rPr>
        <w:t xml:space="preserve">5. DESCRIÇÃO DO PROCEDIMENTO (Exemplos - Detalhar cada serviço oferecido)</w:t>
      </w:r>
    </w:p>
    <w:p>
      <w:pPr>
        <w:pStyle w:val="BodyText"/>
      </w:pPr>
      <w:r>
        <w:rPr>
          <w:b/>
        </w:rPr>
        <w:t xml:space="preserve">5.1. Procedimentos Gerais Iniciais</w:t>
      </w:r>
    </w:p>
    <w:p>
      <w:pPr>
        <w:numPr>
          <w:ilvl w:val="0"/>
          <w:numId w:val="1006"/>
        </w:numPr>
        <w:pStyle w:val="Compact"/>
      </w:pPr>
      <w:r>
        <w:t xml:space="preserve">Receber o paciente na sala de serviços.</w:t>
      </w:r>
    </w:p>
    <w:p>
      <w:pPr>
        <w:numPr>
          <w:ilvl w:val="0"/>
          <w:numId w:val="1006"/>
        </w:numPr>
        <w:pStyle w:val="Compact"/>
      </w:pPr>
      <w:r>
        <w:t xml:space="preserve">Explicar o procedimento a ser realizado e obter o consentimento (verbal ou escrito, se necessário).</w:t>
      </w:r>
    </w:p>
    <w:p>
      <w:pPr>
        <w:numPr>
          <w:ilvl w:val="0"/>
          <w:numId w:val="1006"/>
        </w:numPr>
        <w:pStyle w:val="Compact"/>
      </w:pPr>
      <w:r>
        <w:t xml:space="preserve">Higienizar as mãos com água e sabão ou álcool 70%.</w:t>
      </w:r>
    </w:p>
    <w:p>
      <w:pPr>
        <w:numPr>
          <w:ilvl w:val="0"/>
          <w:numId w:val="1006"/>
        </w:numPr>
        <w:pStyle w:val="Compact"/>
      </w:pPr>
      <w:r>
        <w:t xml:space="preserve">Separar e preparar o material específico para o serviço solicitado.</w:t>
      </w:r>
    </w:p>
    <w:p>
      <w:pPr>
        <w:numPr>
          <w:ilvl w:val="0"/>
          <w:numId w:val="1006"/>
        </w:numPr>
        <w:pStyle w:val="Compact"/>
      </w:pPr>
      <w:r>
        <w:t xml:space="preserve">Calçar luvas de procedimento, se indicado para o serviço (obrigatório para glicemia capilar, perfuração de lóbulo; opcional para aferição de PA/temperatura, mas recomendado).</w:t>
      </w:r>
    </w:p>
    <w:p>
      <w:pPr>
        <w:pStyle w:val="FirstParagraph"/>
      </w:pPr>
      <w:r>
        <w:rPr>
          <w:b/>
        </w:rPr>
        <w:t xml:space="preserve">5.2. Aferição de Pressão Arterial (PA)</w:t>
      </w:r>
    </w:p>
    <w:p>
      <w:pPr>
        <w:numPr>
          <w:ilvl w:val="0"/>
          <w:numId w:val="1007"/>
        </w:numPr>
        <w:pStyle w:val="Compact"/>
      </w:pPr>
      <w:r>
        <w:t xml:space="preserve">Explicar o procedimento ao paciente.</w:t>
      </w:r>
    </w:p>
    <w:p>
      <w:pPr>
        <w:numPr>
          <w:ilvl w:val="0"/>
          <w:numId w:val="1007"/>
        </w:numPr>
        <w:pStyle w:val="Compact"/>
      </w:pPr>
      <w:r>
        <w:t xml:space="preserve">Certificar-se que o paciente não está com a bexiga cheia, não praticou exercícios físicos, não ingeriu bebidas alcoólicas, café, alimentos ou fumou até 30 minutos antes.</w:t>
      </w:r>
    </w:p>
    <w:p>
      <w:pPr>
        <w:numPr>
          <w:ilvl w:val="0"/>
          <w:numId w:val="1007"/>
        </w:numPr>
        <w:pStyle w:val="Compact"/>
      </w:pPr>
      <w:r>
        <w:t xml:space="preserve">Deixar o paciente descansar por 5-10 minutos em ambiente calmo.</w:t>
      </w:r>
    </w:p>
    <w:p>
      <w:pPr>
        <w:numPr>
          <w:ilvl w:val="0"/>
          <w:numId w:val="1007"/>
        </w:numPr>
        <w:pStyle w:val="Compact"/>
      </w:pPr>
      <w:r>
        <w:t xml:space="preserve">Posicionar o paciente sentado, com pernas descruzadas, pés apoiados no chão, dorso recostado na cadeira e braço relaxado, apoiado ao nível do coração.</w:t>
      </w:r>
    </w:p>
    <w:p>
      <w:pPr>
        <w:numPr>
          <w:ilvl w:val="0"/>
          <w:numId w:val="1007"/>
        </w:numPr>
        <w:pStyle w:val="Compact"/>
      </w:pPr>
      <w:r>
        <w:t xml:space="preserve">Selecionar o manguito de tamanho adequado ao braço do paciente.</w:t>
      </w:r>
    </w:p>
    <w:p>
      <w:pPr>
        <w:numPr>
          <w:ilvl w:val="0"/>
          <w:numId w:val="1007"/>
        </w:numPr>
        <w:pStyle w:val="Compact"/>
      </w:pPr>
      <w:r>
        <w:t xml:space="preserve">Localizar a artéria braquial por palpação.</w:t>
      </w:r>
    </w:p>
    <w:p>
      <w:pPr>
        <w:numPr>
          <w:ilvl w:val="0"/>
          <w:numId w:val="1007"/>
        </w:numPr>
        <w:pStyle w:val="Compact"/>
      </w:pPr>
      <w:r>
        <w:t xml:space="preserve">Colocar o manguito, sem folgas, 2 a 3 cm acima da fossa cubital.</w:t>
      </w:r>
    </w:p>
    <w:p>
      <w:pPr>
        <w:numPr>
          <w:ilvl w:val="0"/>
          <w:numId w:val="1007"/>
        </w:numPr>
        <w:pStyle w:val="Compact"/>
      </w:pPr>
      <w:r>
        <w:t xml:space="preserve">Posicionar o diafragma do estetoscópio sobre a artéria braquial (se usar método auscultatório).</w:t>
      </w:r>
    </w:p>
    <w:p>
      <w:pPr>
        <w:numPr>
          <w:ilvl w:val="0"/>
          <w:numId w:val="1007"/>
        </w:numPr>
        <w:pStyle w:val="Compact"/>
      </w:pPr>
      <w:r>
        <w:t xml:space="preserve">Inflar rapidamente até ultrapassar 20-30 mmHg o nível estimado da pressão sistólica (obtido por palpação prévia).</w:t>
      </w:r>
    </w:p>
    <w:p>
      <w:pPr>
        <w:numPr>
          <w:ilvl w:val="0"/>
          <w:numId w:val="1007"/>
        </w:numPr>
        <w:pStyle w:val="Compact"/>
      </w:pPr>
      <w:r>
        <w:t xml:space="preserve">Proceder à deflação lentamente (2 mmHg por segundo).</w:t>
      </w:r>
    </w:p>
    <w:p>
      <w:pPr>
        <w:numPr>
          <w:ilvl w:val="0"/>
          <w:numId w:val="1007"/>
        </w:numPr>
        <w:pStyle w:val="Compact"/>
      </w:pPr>
      <w:r>
        <w:t xml:space="preserve">Determinar a pressão sistólica (primeiro som - Korotkoff fase I) e a pressão diastólica (desaparecimento do som - Korotkoff fase V) no método auscultatório, ou observar os valores no visor do aparelho digital.</w:t>
      </w:r>
    </w:p>
    <w:p>
      <w:pPr>
        <w:numPr>
          <w:ilvl w:val="0"/>
          <w:numId w:val="1007"/>
        </w:numPr>
        <w:pStyle w:val="Compact"/>
      </w:pPr>
      <w:r>
        <w:t xml:space="preserve">Esperar 1-2 minutos e realizar uma segunda medição. Se os valores forem muito diferentes, realizar uma terceira.</w:t>
      </w:r>
    </w:p>
    <w:p>
      <w:pPr>
        <w:numPr>
          <w:ilvl w:val="0"/>
          <w:numId w:val="1007"/>
        </w:numPr>
        <w:pStyle w:val="Compact"/>
      </w:pPr>
      <w:r>
        <w:t xml:space="preserve">Retirar o manguito.</w:t>
      </w:r>
    </w:p>
    <w:p>
      <w:pPr>
        <w:numPr>
          <w:ilvl w:val="0"/>
          <w:numId w:val="1007"/>
        </w:numPr>
        <w:pStyle w:val="Compact"/>
      </w:pPr>
      <w:r>
        <w:t xml:space="preserve">Informar os valores obtidos ao paciente e registrá-los.</w:t>
      </w:r>
    </w:p>
    <w:p>
      <w:pPr>
        <w:numPr>
          <w:ilvl w:val="0"/>
          <w:numId w:val="1007"/>
        </w:numPr>
        <w:pStyle w:val="Compact"/>
      </w:pPr>
      <w:r>
        <w:t xml:space="preserve">Orientar o paciente sobre os valores e a necessidade de acompanhamento médico, se necessário.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fazer diagnóstico ou alterar prescrição médica.</w:t>
      </w:r>
    </w:p>
    <w:p>
      <w:pPr>
        <w:numPr>
          <w:ilvl w:val="0"/>
          <w:numId w:val="1007"/>
        </w:numPr>
        <w:pStyle w:val="Compact"/>
      </w:pPr>
      <w:r>
        <w:t xml:space="preserve">Higienizar o diafragma do estetoscópio e as olivas com álcool 70%.</w:t>
      </w:r>
    </w:p>
    <w:p>
      <w:pPr>
        <w:pStyle w:val="FirstParagraph"/>
      </w:pPr>
      <w:r>
        <w:rPr>
          <w:b/>
        </w:rPr>
        <w:t xml:space="preserve">5.3. Aferição de Glicemia Capilar</w:t>
      </w:r>
    </w:p>
    <w:p>
      <w:pPr>
        <w:numPr>
          <w:ilvl w:val="0"/>
          <w:numId w:val="1008"/>
        </w:numPr>
        <w:pStyle w:val="Compact"/>
      </w:pPr>
      <w:r>
        <w:t xml:space="preserve">Higienizar as mãos e calçar as luvas.</w:t>
      </w:r>
    </w:p>
    <w:p>
      <w:pPr>
        <w:numPr>
          <w:ilvl w:val="0"/>
          <w:numId w:val="1008"/>
        </w:numPr>
        <w:pStyle w:val="Compact"/>
      </w:pPr>
      <w:r>
        <w:t xml:space="preserve">Verificar a codificação/calibração do glicosímetro e a validade das fitas reagentes.</w:t>
      </w:r>
    </w:p>
    <w:p>
      <w:pPr>
        <w:numPr>
          <w:ilvl w:val="0"/>
          <w:numId w:val="1008"/>
        </w:numPr>
        <w:pStyle w:val="Compact"/>
      </w:pPr>
      <w:r>
        <w:t xml:space="preserve">Inserir a fita reagente no glicosímetro.</w:t>
      </w:r>
    </w:p>
    <w:p>
      <w:pPr>
        <w:numPr>
          <w:ilvl w:val="0"/>
          <w:numId w:val="1008"/>
        </w:numPr>
        <w:pStyle w:val="Compact"/>
      </w:pPr>
      <w:r>
        <w:t xml:space="preserve">Selecionar o local da punção (lateral da polpa digital, preferencialmente dedos médio, anelar ou mínimo), evitando áreas com calos ou lesões.</w:t>
      </w:r>
    </w:p>
    <w:p>
      <w:pPr>
        <w:numPr>
          <w:ilvl w:val="0"/>
          <w:numId w:val="1008"/>
        </w:numPr>
        <w:pStyle w:val="Compact"/>
      </w:pPr>
      <w:r>
        <w:t xml:space="preserve">Realizar antissepsia do local com álcool 70% e aguardar secar completamente.</w:t>
      </w:r>
    </w:p>
    <w:p>
      <w:pPr>
        <w:numPr>
          <w:ilvl w:val="0"/>
          <w:numId w:val="1008"/>
        </w:numPr>
        <w:pStyle w:val="Compact"/>
      </w:pPr>
      <w:r>
        <w:t xml:space="preserve">Realizar a punção com lancetador automático e lanceta estéril.</w:t>
      </w:r>
    </w:p>
    <w:p>
      <w:pPr>
        <w:numPr>
          <w:ilvl w:val="0"/>
          <w:numId w:val="1008"/>
        </w:numPr>
        <w:pStyle w:val="Compact"/>
      </w:pPr>
      <w:r>
        <w:t xml:space="preserve">Desprezar a primeira gota de sangue (se recomendado pelo fabricante do glicosímetro).</w:t>
      </w:r>
    </w:p>
    <w:p>
      <w:pPr>
        <w:numPr>
          <w:ilvl w:val="0"/>
          <w:numId w:val="1008"/>
        </w:numPr>
        <w:pStyle w:val="Compact"/>
      </w:pPr>
      <w:r>
        <w:t xml:space="preserve">Aproximar a fita reagente da gota de sangue para que ocorra a absorção adequada.</w:t>
      </w:r>
    </w:p>
    <w:p>
      <w:pPr>
        <w:numPr>
          <w:ilvl w:val="0"/>
          <w:numId w:val="1008"/>
        </w:numPr>
        <w:pStyle w:val="Compact"/>
      </w:pPr>
      <w:r>
        <w:t xml:space="preserve">Aguardar o resultado no visor do aparelho.</w:t>
      </w:r>
    </w:p>
    <w:p>
      <w:pPr>
        <w:numPr>
          <w:ilvl w:val="0"/>
          <w:numId w:val="1008"/>
        </w:numPr>
        <w:pStyle w:val="Compact"/>
      </w:pPr>
      <w:r>
        <w:t xml:space="preserve">Comprimir o local da punção com algodão seco.</w:t>
      </w:r>
    </w:p>
    <w:p>
      <w:pPr>
        <w:numPr>
          <w:ilvl w:val="0"/>
          <w:numId w:val="1008"/>
        </w:numPr>
        <w:pStyle w:val="Compact"/>
      </w:pPr>
      <w:r>
        <w:t xml:space="preserve">Informar o resultado ao paciente e registrá-lo.</w:t>
      </w:r>
    </w:p>
    <w:p>
      <w:pPr>
        <w:numPr>
          <w:ilvl w:val="0"/>
          <w:numId w:val="1008"/>
        </w:numPr>
        <w:pStyle w:val="Compact"/>
      </w:pPr>
      <w:r>
        <w:t xml:space="preserve">Orientar o paciente sobre o resultado e a importância do acompanhamento médico e nutricional.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fazer diagnóstico ou alterar prescrição médica.</w:t>
      </w:r>
    </w:p>
    <w:p>
      <w:pPr>
        <w:numPr>
          <w:ilvl w:val="0"/>
          <w:numId w:val="1008"/>
        </w:numPr>
        <w:pStyle w:val="Compact"/>
      </w:pPr>
      <w:r>
        <w:t xml:space="preserve">Descartar a lanceta e a fita reagente no coletor de perfurocortantes.</w:t>
      </w:r>
    </w:p>
    <w:p>
      <w:pPr>
        <w:pStyle w:val="FirstParagraph"/>
      </w:pPr>
      <w:r>
        <w:rPr>
          <w:b/>
        </w:rPr>
        <w:t xml:space="preserve">5.4. Aferição de Temperatura Corporal (Axilar)</w:t>
      </w:r>
    </w:p>
    <w:p>
      <w:pPr>
        <w:numPr>
          <w:ilvl w:val="0"/>
          <w:numId w:val="1009"/>
        </w:numPr>
        <w:pStyle w:val="Compact"/>
      </w:pPr>
      <w:r>
        <w:t xml:space="preserve">Higienizar o termômetro com álcool 70%.</w:t>
      </w:r>
    </w:p>
    <w:p>
      <w:pPr>
        <w:numPr>
          <w:ilvl w:val="0"/>
          <w:numId w:val="1009"/>
        </w:numPr>
        <w:pStyle w:val="Compact"/>
      </w:pPr>
      <w:r>
        <w:t xml:space="preserve">Secar a axila do paciente, se necessário.</w:t>
      </w:r>
    </w:p>
    <w:p>
      <w:pPr>
        <w:numPr>
          <w:ilvl w:val="0"/>
          <w:numId w:val="1009"/>
        </w:numPr>
        <w:pStyle w:val="Compact"/>
      </w:pPr>
      <w:r>
        <w:t xml:space="preserve">Colocar o bulbo/sensor do termômetro no côncavo axilar, garantindo contato direto com a pele.</w:t>
      </w:r>
    </w:p>
    <w:p>
      <w:pPr>
        <w:numPr>
          <w:ilvl w:val="0"/>
          <w:numId w:val="1009"/>
        </w:numPr>
        <w:pStyle w:val="Compact"/>
      </w:pPr>
      <w:r>
        <w:t xml:space="preserve">Manter o braço do paciente junto ao corpo.</w:t>
      </w:r>
    </w:p>
    <w:p>
      <w:pPr>
        <w:numPr>
          <w:ilvl w:val="0"/>
          <w:numId w:val="1009"/>
        </w:numPr>
        <w:pStyle w:val="Compact"/>
      </w:pPr>
      <w:r>
        <w:t xml:space="preserve">Aguardar o tempo necessário (conforme termômetro) ou o sinal sonoro.</w:t>
      </w:r>
    </w:p>
    <w:p>
      <w:pPr>
        <w:numPr>
          <w:ilvl w:val="0"/>
          <w:numId w:val="1009"/>
        </w:numPr>
        <w:pStyle w:val="Compact"/>
      </w:pPr>
      <w:r>
        <w:t xml:space="preserve">Retirar o termômetro e realizar a leitura.</w:t>
      </w:r>
    </w:p>
    <w:p>
      <w:pPr>
        <w:numPr>
          <w:ilvl w:val="0"/>
          <w:numId w:val="1009"/>
        </w:numPr>
        <w:pStyle w:val="Compact"/>
      </w:pPr>
      <w:r>
        <w:t xml:space="preserve">Informar o resultado ao paciente e registrá-lo.</w:t>
      </w:r>
    </w:p>
    <w:p>
      <w:pPr>
        <w:numPr>
          <w:ilvl w:val="0"/>
          <w:numId w:val="1009"/>
        </w:numPr>
        <w:pStyle w:val="Compact"/>
      </w:pPr>
      <w:r>
        <w:t xml:space="preserve">Orientar o paciente sobre o resultado e a necessidade de avaliação médica, se febril.</w:t>
      </w:r>
    </w:p>
    <w:p>
      <w:pPr>
        <w:numPr>
          <w:ilvl w:val="0"/>
          <w:numId w:val="1009"/>
        </w:numPr>
        <w:pStyle w:val="Compact"/>
      </w:pPr>
      <w:r>
        <w:t xml:space="preserve">Higienizar novamente o termômetro com álcool 70% antes de guardá-lo.</w:t>
      </w:r>
    </w:p>
    <w:p>
      <w:pPr>
        <w:pStyle w:val="FirstParagraph"/>
      </w:pPr>
      <w:r>
        <w:rPr>
          <w:b/>
        </w:rPr>
        <w:t xml:space="preserve">5.5. Procedimentos Gerais Finais</w:t>
      </w:r>
    </w:p>
    <w:p>
      <w:pPr>
        <w:numPr>
          <w:ilvl w:val="0"/>
          <w:numId w:val="1010"/>
        </w:numPr>
        <w:pStyle w:val="Compact"/>
      </w:pPr>
      <w:r>
        <w:t xml:space="preserve">Descartar todos os materiais descartáveis nos recipientes adequados (perfurocortante, comum, infectante - conforme PGRSS e</w:t>
      </w:r>
      <w:r>
        <w:t xml:space="preserve"> 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10"/>
        </w:numPr>
        <w:pStyle w:val="Compact"/>
      </w:pPr>
      <w:r>
        <w:t xml:space="preserve">Retirar as luvas (se usadas) conforme técnica do</w:t>
      </w:r>
      <w:r>
        <w:t xml:space="preserve"> </w:t>
      </w:r>
      <w:r>
        <w:rPr>
          <w:b/>
        </w:rPr>
        <w:t xml:space="preserve">POP 018</w:t>
      </w:r>
      <w:r>
        <w:t xml:space="preserve">.</w:t>
      </w:r>
    </w:p>
    <w:p>
      <w:pPr>
        <w:numPr>
          <w:ilvl w:val="0"/>
          <w:numId w:val="1010"/>
        </w:numPr>
        <w:pStyle w:val="Compact"/>
      </w:pPr>
      <w:r>
        <w:t xml:space="preserve">Higienizar as mãos.</w:t>
      </w:r>
    </w:p>
    <w:p>
      <w:pPr>
        <w:numPr>
          <w:ilvl w:val="0"/>
          <w:numId w:val="1010"/>
        </w:numPr>
        <w:pStyle w:val="Compact"/>
      </w:pPr>
      <w:r>
        <w:t xml:space="preserve">Preencher a Declaração de Serviço Farmacêutico em duas vias (</w:t>
      </w:r>
      <w:r>
        <w:rPr>
          <w:b/>
        </w:rPr>
        <w:t xml:space="preserve">POP 007</w:t>
      </w:r>
      <w:r>
        <w:t xml:space="preserve">), entregando uma ao paciente e arquivando a outra.</w:t>
      </w:r>
    </w:p>
    <w:p>
      <w:pPr>
        <w:numPr>
          <w:ilvl w:val="0"/>
          <w:numId w:val="1010"/>
        </w:numPr>
        <w:pStyle w:val="Compact"/>
      </w:pPr>
      <w:r>
        <w:t xml:space="preserve">Higienizar bancadas e equipamentos reutilizáveis (termômetro, estetoscópio, etc.) após cada uso.</w:t>
      </w:r>
    </w:p>
    <w:p>
      <w:pPr>
        <w:pStyle w:val="FirstParagraph"/>
      </w:pPr>
      <w:r>
        <w:rPr>
          <w:b/>
        </w:rPr>
        <w:t xml:space="preserve">6. CONTROLE DE QUALIDADE DOS EQUIPAMENTOS</w:t>
      </w:r>
    </w:p>
    <w:p>
      <w:pPr>
        <w:numPr>
          <w:ilvl w:val="0"/>
          <w:numId w:val="1011"/>
        </w:numPr>
        <w:pStyle w:val="Compact"/>
      </w:pPr>
      <w:r>
        <w:t xml:space="preserve">Realizar calibração periódica dos equipamentos (esfigmomanômetro, termômetro) por empresa especializada ou conforme recomendação do fabricante/INMETRO, mantendo os certificados.</w:t>
      </w:r>
    </w:p>
    <w:p>
      <w:pPr>
        <w:numPr>
          <w:ilvl w:val="0"/>
          <w:numId w:val="1011"/>
        </w:numPr>
        <w:pStyle w:val="Compact"/>
      </w:pPr>
      <w:r>
        <w:t xml:space="preserve">Realizar testes de controle de qualidade do glicosímetro com soluções controle, conforme recomendação do fabricante.</w:t>
      </w:r>
    </w:p>
    <w:p>
      <w:pPr>
        <w:numPr>
          <w:ilvl w:val="0"/>
          <w:numId w:val="1011"/>
        </w:numPr>
        <w:pStyle w:val="Compact"/>
      </w:pPr>
      <w:r>
        <w:t xml:space="preserve">Verificar periodicamente a validade das fitas reagentes.</w:t>
      </w:r>
    </w:p>
    <w:p>
      <w:pPr>
        <w:pStyle w:val="FirstParagraph"/>
      </w:pPr>
      <w:r>
        <w:rPr>
          <w:b/>
        </w:rPr>
        <w:t xml:space="preserve">7. MONITORAMENTO E VERIFICAÇÃO</w:t>
      </w:r>
    </w:p>
    <w:p>
      <w:pPr>
        <w:numPr>
          <w:ilvl w:val="0"/>
          <w:numId w:val="1012"/>
        </w:numPr>
        <w:pStyle w:val="Compact"/>
      </w:pPr>
      <w:r>
        <w:t xml:space="preserve">Observação direta da técnica pelo Farmacêutico RT (se mais de um farmacêutico realizar os serviços).</w:t>
      </w:r>
    </w:p>
    <w:p>
      <w:pPr>
        <w:numPr>
          <w:ilvl w:val="0"/>
          <w:numId w:val="1012"/>
        </w:numPr>
        <w:pStyle w:val="Compact"/>
      </w:pPr>
      <w:r>
        <w:t xml:space="preserve">Auditoria dos registros (Declarações de Serviço Farmacêutico).</w:t>
      </w:r>
    </w:p>
    <w:p>
      <w:pPr>
        <w:numPr>
          <w:ilvl w:val="0"/>
          <w:numId w:val="1012"/>
        </w:numPr>
        <w:pStyle w:val="Compact"/>
      </w:pPr>
      <w:r>
        <w:t xml:space="preserve">Verificação da calibração e controle de qualidade dos equipamentos.</w:t>
      </w:r>
    </w:p>
    <w:p>
      <w:pPr>
        <w:numPr>
          <w:ilvl w:val="0"/>
          <w:numId w:val="1012"/>
        </w:numPr>
        <w:pStyle w:val="Compact"/>
      </w:pPr>
      <w:r>
        <w:t xml:space="preserve">Verificação da disponibilidade e validade dos materiais (fitas, lancetas, etc.).</w:t>
      </w:r>
    </w:p>
    <w:p>
      <w:pPr>
        <w:numPr>
          <w:ilvl w:val="0"/>
          <w:numId w:val="1012"/>
        </w:numPr>
        <w:pStyle w:val="Compact"/>
      </w:pPr>
      <w:r>
        <w:t xml:space="preserve">Verificação da correta segregação e descarte dos resíduos.</w:t>
      </w:r>
    </w:p>
    <w:p>
      <w:pPr>
        <w:pStyle w:val="FirstParagraph"/>
      </w:pPr>
      <w:r>
        <w:rPr>
          <w:b/>
        </w:rPr>
        <w:t xml:space="preserve">8. REGISTROS</w:t>
      </w:r>
    </w:p>
    <w:p>
      <w:pPr>
        <w:numPr>
          <w:ilvl w:val="0"/>
          <w:numId w:val="1013"/>
        </w:numPr>
        <w:pStyle w:val="Compact"/>
      </w:pPr>
      <w:r>
        <w:t xml:space="preserve">Declaração de Serviço Farmacêutico (via arquivada).</w:t>
      </w:r>
    </w:p>
    <w:p>
      <w:pPr>
        <w:numPr>
          <w:ilvl w:val="0"/>
          <w:numId w:val="1013"/>
        </w:numPr>
        <w:pStyle w:val="Compact"/>
      </w:pPr>
      <w:r>
        <w:t xml:space="preserve">Certificados de calibração dos equipamentos (esfigmomanômetro, termômetro).</w:t>
      </w:r>
    </w:p>
    <w:p>
      <w:pPr>
        <w:numPr>
          <w:ilvl w:val="0"/>
          <w:numId w:val="1013"/>
        </w:numPr>
        <w:pStyle w:val="Compact"/>
      </w:pPr>
      <w:r>
        <w:t xml:space="preserve">Registros de controle de qualidade do glicosímetro.</w:t>
      </w:r>
    </w:p>
    <w:p>
      <w:pPr>
        <w:numPr>
          <w:ilvl w:val="0"/>
          <w:numId w:val="1013"/>
        </w:numPr>
        <w:pStyle w:val="Compact"/>
      </w:pPr>
      <w:r>
        <w:t xml:space="preserve">[Registro de capacitação/habilitação do farmacêutico para os serviços oferecidos].</w:t>
      </w:r>
    </w:p>
    <w:p>
      <w:pPr>
        <w:pStyle w:val="FirstParagraph"/>
      </w:pPr>
      <w:r>
        <w:rPr>
          <w:b/>
        </w:rPr>
        <w:t xml:space="preserve">9. REFERÊNCIAS</w:t>
      </w:r>
    </w:p>
    <w:p>
      <w:pPr>
        <w:numPr>
          <w:ilvl w:val="0"/>
          <w:numId w:val="1014"/>
        </w:numPr>
        <w:pStyle w:val="Compact"/>
      </w:pPr>
      <w:r>
        <w:t xml:space="preserve">Resolução RDC nº 44, de 17 de agosto de 2009 - ANVISA (Art. 61 a 81 - Serviços Farmacêuticos).</w:t>
      </w:r>
    </w:p>
    <w:p>
      <w:pPr>
        <w:numPr>
          <w:ilvl w:val="0"/>
          <w:numId w:val="1014"/>
        </w:numPr>
        <w:pStyle w:val="Compact"/>
      </w:pPr>
      <w:r>
        <w:t xml:space="preserve">Resoluções do Conselho Federal de Farmácia (CFF) sobre atribuições clínicas e serviços farmacêuticos (ex: Res. 585/2013, Res. 586/2013).</w:t>
      </w:r>
    </w:p>
    <w:p>
      <w:pPr>
        <w:numPr>
          <w:ilvl w:val="0"/>
          <w:numId w:val="1014"/>
        </w:numPr>
        <w:pStyle w:val="Compact"/>
      </w:pPr>
      <w:r>
        <w:t xml:space="preserve">Diretrizes Brasileiras de Hipertensão Arterial (para aferição de PA).</w:t>
      </w:r>
    </w:p>
    <w:p>
      <w:pPr>
        <w:numPr>
          <w:ilvl w:val="0"/>
          <w:numId w:val="1014"/>
        </w:numPr>
        <w:pStyle w:val="Compact"/>
      </w:pPr>
      <w:r>
        <w:t xml:space="preserve">Diretrizes da Sociedade Brasileira de Diabetes (para aferição de glicemia).</w:t>
      </w:r>
    </w:p>
    <w:p>
      <w:pPr>
        <w:numPr>
          <w:ilvl w:val="0"/>
          <w:numId w:val="1014"/>
        </w:numPr>
        <w:pStyle w:val="Compact"/>
      </w:pPr>
      <w:r>
        <w:t xml:space="preserve">Manuais técnicos específicos para cada serviço.</w:t>
      </w:r>
    </w:p>
    <w:p>
      <w:pPr>
        <w:numPr>
          <w:ilvl w:val="0"/>
          <w:numId w:val="1014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4"/>
        </w:numPr>
        <w:pStyle w:val="Compact"/>
      </w:pPr>
      <w:r>
        <w:t xml:space="preserve">POP 007 - Prestação de Serviços Farmacêuticos Permitidos.</w:t>
      </w:r>
    </w:p>
    <w:p>
      <w:pPr>
        <w:numPr>
          <w:ilvl w:val="0"/>
          <w:numId w:val="1014"/>
        </w:numPr>
        <w:pStyle w:val="Compact"/>
      </w:pPr>
      <w:r>
        <w:t xml:space="preserve">POP 008 - Utilização e Descarte de Materiais Descartáveis.</w:t>
      </w:r>
    </w:p>
    <w:p>
      <w:pPr>
        <w:numPr>
          <w:ilvl w:val="0"/>
          <w:numId w:val="1014"/>
        </w:numPr>
        <w:pStyle w:val="Compact"/>
      </w:pPr>
      <w:r>
        <w:t xml:space="preserve">POP 018 - Instruções para Uso de Equipamentos de Proteção Individual (EPIs).</w:t>
      </w:r>
    </w:p>
    <w:p>
      <w:pPr>
        <w:numPr>
          <w:ilvl w:val="0"/>
          <w:numId w:val="1014"/>
        </w:numPr>
        <w:pStyle w:val="Compact"/>
      </w:pPr>
      <w:r>
        <w:t xml:space="preserve">Plano de Gerenciamento de Resíduos de Serviços de Saúde (PGRSS).</w:t>
      </w:r>
    </w:p>
    <w:p>
      <w:pPr>
        <w:pStyle w:val="FirstParagraph"/>
      </w:pPr>
      <w:r>
        <w:rPr>
          <w:b/>
        </w:rPr>
        <w:t xml:space="preserve">10.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2025-06-02T13:30:21Z</dcterms:created>
  <dcterms:modified xsi:type="dcterms:W3CDTF">2025-06-02T13:30:21Z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