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rocedimento-operacional-padrão-pop"/>
      <w:r>
        <w:t xml:space="preserve">Procedimento Operacional Padrão (POP)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POP 019 - Procedimento para Realização de Serviços Farmacêuticos (Aplicação de Medicamentos Injetáveis)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Farmacêutico Responsável]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Farmacêutico Responsável Técnico]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OBJETIVO</w:t>
      </w:r>
    </w:p>
    <w:p>
      <w:pPr>
        <w:pStyle w:val="BodyText"/>
      </w:pPr>
      <w:r>
        <w:t xml:space="preserve">Padronizar a técnica e os cuidados para a administração segura de medicamentos por via intramuscular (IM), subcutânea (SC) [e intradérmica (ID), se aplicável] na</w:t>
      </w:r>
      <w:r>
        <w:t xml:space="preserve"> </w:t>
      </w:r>
      <w:r>
        <w:rPr>
          <w:b/>
        </w:rPr>
        <w:t xml:space="preserve">[Nome da Drogaria]</w:t>
      </w:r>
      <w:r>
        <w:t xml:space="preserve">, realizada exclusivamente por farmacêutico habilitado, garantindo a segurança do paciente e do profissional, a eficácia do tratamento e o cumprimento da RDC 44/2009 e das normas profissionais.</w:t>
      </w:r>
    </w:p>
    <w:p>
      <w:pPr>
        <w:pStyle w:val="BodyText"/>
      </w:pPr>
      <w:r>
        <w:rPr>
          <w:b/>
        </w:rPr>
        <w:t xml:space="preserve">2. APLICAÇÃO</w:t>
      </w:r>
    </w:p>
    <w:p>
      <w:pPr>
        <w:pStyle w:val="BodyText"/>
      </w:pPr>
      <w:r>
        <w:t xml:space="preserve">Este procedimento aplica-se exclusivamente à administração de medicamentos injetáveis (IM, SC) mediante apresentação de prescrição médica válida, realizada na sala de serviços farmacêuticos por farmacêutico devidamente capacitado e habilitado.</w:t>
      </w:r>
    </w:p>
    <w:p>
      <w:pPr>
        <w:pStyle w:val="BodyText"/>
      </w:pPr>
      <w:r>
        <w:rPr>
          <w:b/>
        </w:rPr>
        <w:t xml:space="preserve">É VEDADA a administração de medicamentos endovenosos (EV) em drogarias.</w:t>
      </w:r>
    </w:p>
    <w:p>
      <w:pPr>
        <w:pStyle w:val="BodyText"/>
      </w:pPr>
      <w:r>
        <w:rPr>
          <w:b/>
        </w:rPr>
        <w:t xml:space="preserve">3. RESPONSABILIDADES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Farmacêutico Responsável Técnico (e Farmacêutico Substituto Habilitado):</w:t>
      </w:r>
      <w:r>
        <w:t xml:space="preserve"> </w:t>
      </w:r>
      <w:r>
        <w:t xml:space="preserve">É o</w:t>
      </w:r>
      <w:r>
        <w:t xml:space="preserve"> </w:t>
      </w:r>
      <w:r>
        <w:rPr>
          <w:b/>
        </w:rPr>
        <w:t xml:space="preserve">ÚNICO</w:t>
      </w:r>
      <w:r>
        <w:t xml:space="preserve"> </w:t>
      </w:r>
      <w:r>
        <w:t xml:space="preserve">profissional autorizado a realizar a administração de medicamentos injetáveis na drogaria. Deve possuir capacitação técnica comprovada. É responsável por avaliar a prescrição, preparar o medicamento, escolher o local de aplicação, administrar a injeção com técnica asséptica, orientar o paciente, descartar corretamente os resíduos e registrar o procedimento.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Responsável Legal:</w:t>
      </w:r>
      <w:r>
        <w:t xml:space="preserve"> </w:t>
      </w:r>
      <w:r>
        <w:t xml:space="preserve">Garantir a infraestrutura adequada (sala de serviços), materiais necessários (seringas, agulhas, antissépticos, algodão, EPIs, caixa de perfurocortante) e condições para que o farmacêutico realize o procedimento com segurança.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Demais Funcionários:</w:t>
      </w:r>
      <w:r>
        <w:t xml:space="preserve"> </w:t>
      </w:r>
      <w:r>
        <w:t xml:space="preserve">Encaminhar o paciente com prescrição de injetável ao farmacêutico.</w:t>
      </w:r>
      <w:r>
        <w:t xml:space="preserve"> </w:t>
      </w:r>
      <w:r>
        <w:rPr>
          <w:b/>
        </w:rPr>
        <w:t xml:space="preserve">NÃO</w:t>
      </w:r>
      <w:r>
        <w:t xml:space="preserve"> </w:t>
      </w:r>
      <w:r>
        <w:t xml:space="preserve">realizar a aplicação ou manusear os materiais relacionados sem a presença e supervisão direta do farmacêutico (e mesmo assim, a aplicação é privativa do farmacêutico).</w:t>
      </w:r>
    </w:p>
    <w:p>
      <w:pPr>
        <w:pStyle w:val="FirstParagraph"/>
      </w:pPr>
      <w:r>
        <w:rPr>
          <w:b/>
        </w:rPr>
        <w:t xml:space="preserve">4. MATERIAIS E EQUIPAMENTOS</w:t>
      </w:r>
    </w:p>
    <w:p>
      <w:pPr>
        <w:numPr>
          <w:ilvl w:val="0"/>
          <w:numId w:val="1002"/>
        </w:numPr>
        <w:pStyle w:val="Compact"/>
      </w:pPr>
      <w:r>
        <w:t xml:space="preserve">Sala de serviços farmacêuticos adequada (privativa, limpa, com pia, bancada).</w:t>
      </w:r>
    </w:p>
    <w:p>
      <w:pPr>
        <w:numPr>
          <w:ilvl w:val="0"/>
          <w:numId w:val="1002"/>
        </w:numPr>
        <w:pStyle w:val="Compact"/>
      </w:pPr>
      <w:r>
        <w:t xml:space="preserve">Prescrição médica válida.</w:t>
      </w:r>
    </w:p>
    <w:p>
      <w:pPr>
        <w:numPr>
          <w:ilvl w:val="0"/>
          <w:numId w:val="1002"/>
        </w:numPr>
        <w:pStyle w:val="Compact"/>
      </w:pPr>
      <w:r>
        <w:t xml:space="preserve">Medicamento a ser administrado (conferir nome, concentração, lote, validade, aspecto).</w:t>
      </w:r>
    </w:p>
    <w:p>
      <w:pPr>
        <w:numPr>
          <w:ilvl w:val="0"/>
          <w:numId w:val="1002"/>
        </w:numPr>
        <w:pStyle w:val="Compact"/>
      </w:pPr>
      <w:r>
        <w:t xml:space="preserve">Seringa e agulha(s) descartáveis, estéreis, com calibre e comprimento adequados à via de administração, ao medicamento e ao paciente (idade, compleição física).</w:t>
      </w:r>
    </w:p>
    <w:p>
      <w:pPr>
        <w:numPr>
          <w:ilvl w:val="0"/>
          <w:numId w:val="1002"/>
        </w:numPr>
        <w:pStyle w:val="Compact"/>
      </w:pPr>
      <w:r>
        <w:t xml:space="preserve">Algodão seco ou compressa de gaze estéril.</w:t>
      </w:r>
    </w:p>
    <w:p>
      <w:pPr>
        <w:numPr>
          <w:ilvl w:val="0"/>
          <w:numId w:val="1002"/>
        </w:numPr>
        <w:pStyle w:val="Compact"/>
      </w:pPr>
      <w:r>
        <w:t xml:space="preserve">Antisséptico (ex: álcool 70%).</w:t>
      </w:r>
    </w:p>
    <w:p>
      <w:pPr>
        <w:numPr>
          <w:ilvl w:val="0"/>
          <w:numId w:val="1002"/>
        </w:numPr>
        <w:pStyle w:val="Compact"/>
      </w:pPr>
      <w:r>
        <w:t xml:space="preserve">Luvas de procedimento descartáveis (</w:t>
      </w:r>
      <w:r>
        <w:rPr>
          <w:b/>
        </w:rPr>
        <w:t xml:space="preserve">POP 018</w:t>
      </w:r>
      <w:r>
        <w:t xml:space="preserve">).</w:t>
      </w:r>
    </w:p>
    <w:p>
      <w:pPr>
        <w:numPr>
          <w:ilvl w:val="0"/>
          <w:numId w:val="1002"/>
        </w:numPr>
        <w:pStyle w:val="Compact"/>
      </w:pPr>
      <w:r>
        <w:t xml:space="preserve">Óculos de proteção (recomendável,</w:t>
      </w:r>
      <w:r>
        <w:t xml:space="preserve"> </w:t>
      </w:r>
      <w:r>
        <w:rPr>
          <w:b/>
        </w:rPr>
        <w:t xml:space="preserve">POP 018</w:t>
      </w:r>
      <w:r>
        <w:t xml:space="preserve">).</w:t>
      </w:r>
    </w:p>
    <w:p>
      <w:pPr>
        <w:numPr>
          <w:ilvl w:val="0"/>
          <w:numId w:val="1002"/>
        </w:numPr>
        <w:pStyle w:val="Compact"/>
      </w:pPr>
      <w:r>
        <w:t xml:space="preserve">Coletor rígido para descarte de materiais perfurocortantes (</w:t>
      </w:r>
      <w:r>
        <w:rPr>
          <w:b/>
        </w:rPr>
        <w:t xml:space="preserve">POP 008</w:t>
      </w:r>
      <w:r>
        <w:t xml:space="preserve">).</w:t>
      </w:r>
    </w:p>
    <w:p>
      <w:pPr>
        <w:numPr>
          <w:ilvl w:val="0"/>
          <w:numId w:val="1002"/>
        </w:numPr>
        <w:pStyle w:val="Compact"/>
      </w:pPr>
      <w:r>
        <w:t xml:space="preserve">Lixeira para resíduos comuns/infectantes (conforme PGRSS e</w:t>
      </w:r>
      <w:r>
        <w:t xml:space="preserve"> </w:t>
      </w:r>
      <w:r>
        <w:rPr>
          <w:b/>
        </w:rPr>
        <w:t xml:space="preserve">POP 008</w:t>
      </w:r>
      <w:r>
        <w:t xml:space="preserve">).</w:t>
      </w:r>
    </w:p>
    <w:p>
      <w:pPr>
        <w:numPr>
          <w:ilvl w:val="0"/>
          <w:numId w:val="1002"/>
        </w:numPr>
        <w:pStyle w:val="Compact"/>
      </w:pPr>
      <w:r>
        <w:t xml:space="preserve">Formulário de Declaração de Serviço Farmacêutico (</w:t>
      </w:r>
      <w:r>
        <w:rPr>
          <w:b/>
        </w:rPr>
        <w:t xml:space="preserve">POP 007</w:t>
      </w:r>
      <w:r>
        <w:t xml:space="preserve">).</w:t>
      </w:r>
    </w:p>
    <w:p>
      <w:pPr>
        <w:numPr>
          <w:ilvl w:val="0"/>
          <w:numId w:val="1002"/>
        </w:numPr>
        <w:pStyle w:val="Compact"/>
      </w:pPr>
      <w:r>
        <w:t xml:space="preserve">Kit de primeiros socorros (para eventuais intercorrências).</w:t>
      </w:r>
    </w:p>
    <w:p>
      <w:pPr>
        <w:pStyle w:val="FirstParagraph"/>
      </w:pPr>
      <w:r>
        <w:rPr>
          <w:b/>
        </w:rPr>
        <w:t xml:space="preserve">5. DESCRIÇÃO DO PROCEDIMENTO</w:t>
      </w:r>
    </w:p>
    <w:p>
      <w:pPr>
        <w:pStyle w:val="BodyText"/>
      </w:pPr>
      <w:r>
        <w:rPr>
          <w:b/>
        </w:rPr>
        <w:t xml:space="preserve">5.1. Preparação Inicial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Recepção do Paciente:</w:t>
      </w:r>
      <w:r>
        <w:t xml:space="preserve"> </w:t>
      </w:r>
      <w:r>
        <w:t xml:space="preserve">Receber o paciente na sala de serviços farmacêuticos.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Avaliação da Prescrição:</w:t>
      </w:r>
      <w:r>
        <w:t xml:space="preserve"> </w:t>
      </w:r>
      <w:r>
        <w:t xml:space="preserve">Conferir a prescrição médica (validade, legibilidade, medicamento, dose, via de administração, dados do paciente e prescritor) conforme</w:t>
      </w:r>
      <w:r>
        <w:t xml:space="preserve"> </w:t>
      </w:r>
      <w:r>
        <w:rPr>
          <w:b/>
        </w:rPr>
        <w:t xml:space="preserve">POP 004</w:t>
      </w:r>
      <w:r>
        <w:t xml:space="preserve">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Confirmação:</w:t>
      </w:r>
      <w:r>
        <w:t xml:space="preserve"> </w:t>
      </w:r>
      <w:r>
        <w:t xml:space="preserve">Confirmar com o paciente o medicamento a ser aplicado e se há histórico de alergias ou reações adversas a medicamentos.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Higienização das Mãos:</w:t>
      </w:r>
      <w:r>
        <w:t xml:space="preserve"> </w:t>
      </w:r>
      <w:r>
        <w:t xml:space="preserve">Realizar a higienização rigorosa das mãos com água e sabão ou álcool 70%.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Separação do Material:</w:t>
      </w:r>
      <w:r>
        <w:t xml:space="preserve"> </w:t>
      </w:r>
      <w:r>
        <w:t xml:space="preserve">Separar todo o material necessário sobre a bancada limpa.</w:t>
      </w:r>
    </w:p>
    <w:p>
      <w:pPr>
        <w:pStyle w:val="FirstParagraph"/>
      </w:pPr>
      <w:r>
        <w:rPr>
          <w:b/>
        </w:rPr>
        <w:t xml:space="preserve">5.2. Preparo do Medicamento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Conferência:</w:t>
      </w:r>
      <w:r>
        <w:t xml:space="preserve"> </w:t>
      </w:r>
      <w:r>
        <w:t xml:space="preserve">Conferir novamente o medicamento (nome, validade, lote, aspecto físico - cor, presença de partículas, etc.).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Preparo:</w:t>
      </w:r>
      <w:r>
        <w:t xml:space="preserve"> </w:t>
      </w:r>
      <w:r>
        <w:t xml:space="preserve">Realizar o preparo do medicamento (diluição, reconstituição) conforme instruções do fabricante e técnica asséptica, se necessário.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Aspiração:</w:t>
      </w:r>
      <w:r>
        <w:t xml:space="preserve"> </w:t>
      </w:r>
      <w:r>
        <w:t xml:space="preserve">Aspirar a dose correta do medicamento para a seringa, utilizando agulha apropriada (se diferente da agulha de aplicação). Trocar a agulha pela agulha de aplicação adequada para a via prescrita.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Remoção de Bolhas:</w:t>
      </w:r>
      <w:r>
        <w:t xml:space="preserve"> </w:t>
      </w:r>
      <w:r>
        <w:t xml:space="preserve">Remover eventuais bolhas de ar da seringa.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Proteção:</w:t>
      </w:r>
      <w:r>
        <w:t xml:space="preserve"> </w:t>
      </w:r>
      <w:r>
        <w:t xml:space="preserve">Manter a agulha protegida com a tampa até o momento da aplicação.</w:t>
      </w:r>
    </w:p>
    <w:p>
      <w:pPr>
        <w:pStyle w:val="FirstParagraph"/>
      </w:pPr>
      <w:r>
        <w:rPr>
          <w:b/>
        </w:rPr>
        <w:t xml:space="preserve">5.3. Preparo do Paciente e Local de Aplicação</w:t>
      </w:r>
    </w:p>
    <w:p>
      <w:pPr>
        <w:numPr>
          <w:ilvl w:val="0"/>
          <w:numId w:val="1005"/>
        </w:numPr>
        <w:pStyle w:val="Compact"/>
      </w:pPr>
      <w:r>
        <w:rPr>
          <w:b/>
        </w:rPr>
        <w:t xml:space="preserve">Posicionamento:</w:t>
      </w:r>
      <w:r>
        <w:t xml:space="preserve"> </w:t>
      </w:r>
      <w:r>
        <w:t xml:space="preserve">Posicionar o paciente de forma confortável e segura, expondo apenas a área de aplicação.</w:t>
      </w:r>
    </w:p>
    <w:p>
      <w:pPr>
        <w:numPr>
          <w:ilvl w:val="0"/>
          <w:numId w:val="1005"/>
        </w:numPr>
        <w:pStyle w:val="Compact"/>
      </w:pPr>
      <w:r>
        <w:rPr>
          <w:b/>
        </w:rPr>
        <w:t xml:space="preserve">Seleção do Local:</w:t>
      </w:r>
      <w:r>
        <w:t xml:space="preserve"> </w:t>
      </w:r>
      <w:r>
        <w:t xml:space="preserve">Escolher o local de aplicação adequado para a via prescrita (IM ou SC), considerando a idade, massa muscular/tecido subcutâneo do paciente e o volume a ser injetado. Evitar áreas inflamadas, edemaciadas, com cicatrizes ou lesões.</w:t>
      </w:r>
    </w:p>
    <w:p>
      <w:pPr>
        <w:numPr>
          <w:ilvl w:val="1"/>
          <w:numId w:val="1006"/>
        </w:numPr>
        <w:pStyle w:val="Compact"/>
      </w:pPr>
      <w:r>
        <w:rPr>
          <w:b/>
        </w:rPr>
        <w:t xml:space="preserve">IM:</w:t>
      </w:r>
      <w:r>
        <w:t xml:space="preserve"> </w:t>
      </w:r>
      <w:r>
        <w:t xml:space="preserve">Quadrante superior externo do glúteo (adultos), vasto lateral da coxa (crianças/adultos), deltoide (pequenos volumes em adultos).</w:t>
      </w:r>
    </w:p>
    <w:p>
      <w:pPr>
        <w:numPr>
          <w:ilvl w:val="1"/>
          <w:numId w:val="1006"/>
        </w:numPr>
        <w:pStyle w:val="Compact"/>
      </w:pPr>
      <w:r>
        <w:rPr>
          <w:b/>
        </w:rPr>
        <w:t xml:space="preserve">SC:</w:t>
      </w:r>
      <w:r>
        <w:t xml:space="preserve"> </w:t>
      </w:r>
      <w:r>
        <w:t xml:space="preserve">Face externa do braço, abdômen (evitar área periumbilical), face anterior da coxa, região escapular.</w:t>
      </w:r>
    </w:p>
    <w:p>
      <w:pPr>
        <w:numPr>
          <w:ilvl w:val="0"/>
          <w:numId w:val="1005"/>
        </w:numPr>
        <w:pStyle w:val="Compact"/>
      </w:pPr>
      <w:r>
        <w:rPr>
          <w:b/>
        </w:rPr>
        <w:t xml:space="preserve">Antissepsia:</w:t>
      </w:r>
      <w:r>
        <w:t xml:space="preserve"> </w:t>
      </w:r>
      <w:r>
        <w:t xml:space="preserve">Realizar a antissepsia da pele no local escolhido com algodão embebido em álcool 70%, com movimento único (do centro para fora ou de cima para baixo). Aguardar a secagem completa do álcool.</w:t>
      </w:r>
    </w:p>
    <w:p>
      <w:pPr>
        <w:numPr>
          <w:ilvl w:val="0"/>
          <w:numId w:val="1005"/>
        </w:numPr>
        <w:pStyle w:val="Compact"/>
      </w:pPr>
      <w:r>
        <w:rPr>
          <w:b/>
        </w:rPr>
        <w:t xml:space="preserve">Calçar Luvas:</w:t>
      </w:r>
      <w:r>
        <w:t xml:space="preserve"> </w:t>
      </w:r>
      <w:r>
        <w:t xml:space="preserve">Calçar as luvas de procedimento (</w:t>
      </w:r>
      <w:r>
        <w:rPr>
          <w:b/>
        </w:rPr>
        <w:t xml:space="preserve">POP 018</w:t>
      </w:r>
      <w:r>
        <w:t xml:space="preserve">).</w:t>
      </w:r>
    </w:p>
    <w:p>
      <w:pPr>
        <w:pStyle w:val="FirstParagraph"/>
      </w:pPr>
      <w:r>
        <w:rPr>
          <w:b/>
        </w:rPr>
        <w:t xml:space="preserve">5.4. Administração do Medicamento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Técnica:</w:t>
      </w:r>
      <w:r>
        <w:t xml:space="preserve"> </w:t>
      </w:r>
      <w:r>
        <w:t xml:space="preserve">Segurar a seringa firmemente. Realizar a prega cutânea (SC ou IM em deltoide/vasto lateral) ou estirar a pele (IM em glúteo), conforme o local e a via.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Inserção da Agulha:</w:t>
      </w:r>
      <w:r>
        <w:t xml:space="preserve"> </w:t>
      </w:r>
      <w:r>
        <w:t xml:space="preserve">Inserir a agulha com movimento firme e rápido, no ângulo correto para a via:</w:t>
      </w:r>
    </w:p>
    <w:p>
      <w:pPr>
        <w:numPr>
          <w:ilvl w:val="1"/>
          <w:numId w:val="1008"/>
        </w:numPr>
        <w:pStyle w:val="Compact"/>
      </w:pPr>
      <w:r>
        <w:rPr>
          <w:b/>
        </w:rPr>
        <w:t xml:space="preserve">IM:</w:t>
      </w:r>
      <w:r>
        <w:t xml:space="preserve"> </w:t>
      </w:r>
      <w:r>
        <w:t xml:space="preserve">90 graus.</w:t>
      </w:r>
    </w:p>
    <w:p>
      <w:pPr>
        <w:numPr>
          <w:ilvl w:val="1"/>
          <w:numId w:val="1008"/>
        </w:numPr>
        <w:pStyle w:val="Compact"/>
      </w:pPr>
      <w:r>
        <w:rPr>
          <w:b/>
        </w:rPr>
        <w:t xml:space="preserve">SC:</w:t>
      </w:r>
      <w:r>
        <w:t xml:space="preserve"> </w:t>
      </w:r>
      <w:r>
        <w:t xml:space="preserve">45 ou 90 graus (dependendo da prega e comprimento da agulha).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Aspiração (APENAS para IM profunda - Glúteo/Vasto Lateral):</w:t>
      </w:r>
      <w:r>
        <w:t xml:space="preserve"> </w:t>
      </w:r>
      <w:r>
        <w:t xml:space="preserve">Antes de injetar, aspirar levemente puxando o êmbolo. Se houver refluxo de sangue, retirar a agulha, descartar todo o material e reiniciar o procedimento em outro local com novo material. Se não houver refluxo, prosseguir.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Injeção:</w:t>
      </w:r>
      <w:r>
        <w:t xml:space="preserve"> </w:t>
      </w:r>
      <w:r>
        <w:t xml:space="preserve">Injetar o medicamento lentamente e de forma contínua.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Retirada da Agulha:</w:t>
      </w:r>
      <w:r>
        <w:t xml:space="preserve"> </w:t>
      </w:r>
      <w:r>
        <w:t xml:space="preserve">Após injetar todo o conteúdo, retirar a agulha com movimento rápido e firme, no mesmo ângulo de inserção.</w:t>
      </w:r>
    </w:p>
    <w:p>
      <w:pPr>
        <w:numPr>
          <w:ilvl w:val="0"/>
          <w:numId w:val="1007"/>
        </w:numPr>
        <w:pStyle w:val="Compact"/>
      </w:pPr>
      <w:r>
        <w:rPr>
          <w:b/>
        </w:rPr>
        <w:t xml:space="preserve">Compressão:</w:t>
      </w:r>
      <w:r>
        <w:t xml:space="preserve"> </w:t>
      </w:r>
      <w:r>
        <w:t xml:space="preserve">Comprimir levemente o local com algodão seco, sem massagear.</w:t>
      </w:r>
    </w:p>
    <w:p>
      <w:pPr>
        <w:pStyle w:val="FirstParagraph"/>
      </w:pPr>
      <w:r>
        <w:rPr>
          <w:b/>
        </w:rPr>
        <w:t xml:space="preserve">5.5. Pós-Aplicação e Descarte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Observação:</w:t>
      </w:r>
      <w:r>
        <w:t xml:space="preserve"> </w:t>
      </w:r>
      <w:r>
        <w:t xml:space="preserve">Observar o paciente por alguns minutos para verificar possíveis reações imediatas.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Curativo:</w:t>
      </w:r>
      <w:r>
        <w:t xml:space="preserve"> </w:t>
      </w:r>
      <w:r>
        <w:t xml:space="preserve">Aplicar um pequeno curativo adesivo, se necessário.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Descarte Imediato:</w:t>
      </w:r>
      <w:r>
        <w:t xml:space="preserve"> </w:t>
      </w:r>
      <w:r>
        <w:t xml:space="preserve">Descartar o conjunto seringa-agulha (sem reencapar!) diretamente no coletor de perfurocortantes (</w:t>
      </w:r>
      <w:r>
        <w:rPr>
          <w:b/>
        </w:rPr>
        <w:t xml:space="preserve">POP 008</w:t>
      </w:r>
      <w:r>
        <w:t xml:space="preserve">).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Descarte Outros Materiais:</w:t>
      </w:r>
      <w:r>
        <w:t xml:space="preserve"> </w:t>
      </w:r>
      <w:r>
        <w:t xml:space="preserve">Descartar luvas, algodão, embalagens no lixo apropriado (comum ou infectante, conforme PGRSS e</w:t>
      </w:r>
      <w:r>
        <w:t xml:space="preserve"> </w:t>
      </w:r>
      <w:r>
        <w:rPr>
          <w:b/>
        </w:rPr>
        <w:t xml:space="preserve">POP 008</w:t>
      </w:r>
      <w:r>
        <w:t xml:space="preserve">).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Retirada das Luvas:</w:t>
      </w:r>
      <w:r>
        <w:t xml:space="preserve"> </w:t>
      </w:r>
      <w:r>
        <w:t xml:space="preserve">Retirar as luvas conforme técnica descrita no</w:t>
      </w:r>
      <w:r>
        <w:t xml:space="preserve"> </w:t>
      </w:r>
      <w:r>
        <w:rPr>
          <w:b/>
        </w:rPr>
        <w:t xml:space="preserve">POP 018</w:t>
      </w:r>
      <w:r>
        <w:t xml:space="preserve">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Higienização das Mãos:</w:t>
      </w:r>
      <w:r>
        <w:t xml:space="preserve"> </w:t>
      </w:r>
      <w:r>
        <w:t xml:space="preserve">Higienizar as mãos novamente.</w:t>
      </w:r>
    </w:p>
    <w:p>
      <w:pPr>
        <w:pStyle w:val="FirstParagraph"/>
      </w:pPr>
      <w:r>
        <w:rPr>
          <w:b/>
        </w:rPr>
        <w:t xml:space="preserve">5.6. Orientações Finais e Registro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Orientação ao Paciente:</w:t>
      </w:r>
      <w:r>
        <w:t xml:space="preserve"> </w:t>
      </w:r>
      <w:r>
        <w:t xml:space="preserve">Orientar sobre possíveis reações locais (dor, vermelhidão) e o que fazer. Informar sobre sinais de alerta para procurar atendimento médico.</w:t>
      </w:r>
    </w:p>
    <w:p>
      <w:pPr>
        <w:numPr>
          <w:ilvl w:val="0"/>
          <w:numId w:val="1010"/>
        </w:numPr>
        <w:pStyle w:val="Compact"/>
      </w:pPr>
      <w:r>
        <w:rPr>
          <w:b/>
        </w:rPr>
        <w:t xml:space="preserve">Registro:</w:t>
      </w:r>
      <w:r>
        <w:t xml:space="preserve"> </w:t>
      </w:r>
      <w:r>
        <w:t xml:space="preserve">Preencher a Declaração de Serviço Farmacêutico em duas vias, conforme</w:t>
      </w:r>
      <w:r>
        <w:t xml:space="preserve"> </w:t>
      </w:r>
      <w:r>
        <w:rPr>
          <w:b/>
        </w:rPr>
        <w:t xml:space="preserve">POP 007</w:t>
      </w:r>
      <w:r>
        <w:t xml:space="preserve">, entregando uma via ao paciente e arquivando a outra.</w:t>
      </w:r>
    </w:p>
    <w:p>
      <w:pPr>
        <w:numPr>
          <w:ilvl w:val="0"/>
          <w:numId w:val="1010"/>
        </w:numPr>
        <w:pStyle w:val="Compact"/>
      </w:pPr>
      <w:r>
        <w:t xml:space="preserve">Registrar a aplicação no cartão de vacinação/controle do paciente, se aplicável.</w:t>
      </w:r>
    </w:p>
    <w:p>
      <w:pPr>
        <w:pStyle w:val="FirstParagraph"/>
      </w:pPr>
      <w:r>
        <w:rPr>
          <w:b/>
        </w:rPr>
        <w:t xml:space="preserve">6. INTERCORRÊNCIAS</w:t>
      </w:r>
    </w:p>
    <w:p>
      <w:pPr>
        <w:numPr>
          <w:ilvl w:val="0"/>
          <w:numId w:val="1011"/>
        </w:numPr>
        <w:pStyle w:val="Compact"/>
      </w:pPr>
      <w:r>
        <w:t xml:space="preserve">Manter kit de primeiros socorros e conhecer procedimentos básicos para reações alérgicas leves, síncope vasovagal, etc.</w:t>
      </w:r>
    </w:p>
    <w:p>
      <w:pPr>
        <w:numPr>
          <w:ilvl w:val="0"/>
          <w:numId w:val="1011"/>
        </w:numPr>
        <w:pStyle w:val="Compact"/>
      </w:pPr>
      <w:r>
        <w:t xml:space="preserve">Em caso de reações graves (anafilaxia), acionar imediatamente serviço médico de emergência (SAMU 192) e prestar o suporte básico de vida enquanto aguarda.</w:t>
      </w:r>
    </w:p>
    <w:p>
      <w:pPr>
        <w:pStyle w:val="FirstParagraph"/>
      </w:pPr>
      <w:r>
        <w:rPr>
          <w:b/>
        </w:rPr>
        <w:t xml:space="preserve">7. MONITORAMENTO E VERIFICAÇÃO</w:t>
      </w:r>
    </w:p>
    <w:p>
      <w:pPr>
        <w:numPr>
          <w:ilvl w:val="0"/>
          <w:numId w:val="1012"/>
        </w:numPr>
        <w:pStyle w:val="Compact"/>
      </w:pPr>
      <w:r>
        <w:t xml:space="preserve">Observação direta da técnica pelo Farmacêutico RT (em caso de mais de um farmacêutico aplicador).</w:t>
      </w:r>
    </w:p>
    <w:p>
      <w:pPr>
        <w:numPr>
          <w:ilvl w:val="0"/>
          <w:numId w:val="1012"/>
        </w:numPr>
        <w:pStyle w:val="Compact"/>
      </w:pPr>
      <w:r>
        <w:t xml:space="preserve">Auditoria dos registros (Declarações de Serviço Farmacêutico).</w:t>
      </w:r>
    </w:p>
    <w:p>
      <w:pPr>
        <w:numPr>
          <w:ilvl w:val="0"/>
          <w:numId w:val="1012"/>
        </w:numPr>
        <w:pStyle w:val="Compact"/>
      </w:pPr>
      <w:r>
        <w:t xml:space="preserve">Verificação da disponibilidade e validade dos materiais.</w:t>
      </w:r>
    </w:p>
    <w:p>
      <w:pPr>
        <w:numPr>
          <w:ilvl w:val="0"/>
          <w:numId w:val="1012"/>
        </w:numPr>
        <w:pStyle w:val="Compact"/>
      </w:pPr>
      <w:r>
        <w:t xml:space="preserve">Verificação da correta segregação e descarte dos resíduos.</w:t>
      </w:r>
    </w:p>
    <w:p>
      <w:pPr>
        <w:numPr>
          <w:ilvl w:val="0"/>
          <w:numId w:val="1012"/>
        </w:numPr>
        <w:pStyle w:val="Compact"/>
      </w:pPr>
      <w:r>
        <w:t xml:space="preserve">Acompanhamento de relatos de eventos adversos pós-aplicação.</w:t>
      </w:r>
    </w:p>
    <w:p>
      <w:pPr>
        <w:pStyle w:val="FirstParagraph"/>
      </w:pPr>
      <w:r>
        <w:rPr>
          <w:b/>
        </w:rPr>
        <w:t xml:space="preserve">8. REGISTROS</w:t>
      </w:r>
    </w:p>
    <w:p>
      <w:pPr>
        <w:numPr>
          <w:ilvl w:val="0"/>
          <w:numId w:val="1013"/>
        </w:numPr>
        <w:pStyle w:val="Compact"/>
      </w:pPr>
      <w:r>
        <w:t xml:space="preserve">Declaração de Serviço Farmacêutico (via arquivada).</w:t>
      </w:r>
    </w:p>
    <w:p>
      <w:pPr>
        <w:numPr>
          <w:ilvl w:val="0"/>
          <w:numId w:val="1013"/>
        </w:numPr>
        <w:pStyle w:val="Compact"/>
      </w:pPr>
      <w:r>
        <w:t xml:space="preserve">[Registro de capacitação/habilitação do farmacêutico para aplicação de injetáveis].</w:t>
      </w:r>
    </w:p>
    <w:p>
      <w:pPr>
        <w:numPr>
          <w:ilvl w:val="0"/>
          <w:numId w:val="1013"/>
        </w:numPr>
        <w:pStyle w:val="Compact"/>
      </w:pPr>
      <w:r>
        <w:t xml:space="preserve">[Registro de intercorrências e eventos adversos, se houver].</w:t>
      </w:r>
    </w:p>
    <w:p>
      <w:pPr>
        <w:pStyle w:val="FirstParagraph"/>
      </w:pPr>
      <w:r>
        <w:rPr>
          <w:b/>
        </w:rPr>
        <w:t xml:space="preserve">9. REFERÊNCIAS</w:t>
      </w:r>
    </w:p>
    <w:p>
      <w:pPr>
        <w:numPr>
          <w:ilvl w:val="0"/>
          <w:numId w:val="1014"/>
        </w:numPr>
        <w:pStyle w:val="Compact"/>
      </w:pPr>
      <w:r>
        <w:t xml:space="preserve">Resolução RDC nº 44, de 17 de agosto de 2009 - ANVISA (Art. 61 a 81 - Serviços Farmacêuticos).</w:t>
      </w:r>
    </w:p>
    <w:p>
      <w:pPr>
        <w:numPr>
          <w:ilvl w:val="0"/>
          <w:numId w:val="1014"/>
        </w:numPr>
        <w:pStyle w:val="Compact"/>
      </w:pPr>
      <w:r>
        <w:t xml:space="preserve">Resoluções do Conselho Federal de Farmácia (CFF) sobre atribuições clínicas e serviços farmacêuticos (ex: Res. 585/2013, Res. 586/2013).</w:t>
      </w:r>
    </w:p>
    <w:p>
      <w:pPr>
        <w:numPr>
          <w:ilvl w:val="0"/>
          <w:numId w:val="1014"/>
        </w:numPr>
        <w:pStyle w:val="Compact"/>
      </w:pPr>
      <w:r>
        <w:t xml:space="preserve">Manuais técnicos de boas práticas de aplicação de injetáveis (Ministério da Saúde, Sociedades Científicas).</w:t>
      </w:r>
    </w:p>
    <w:p>
      <w:pPr>
        <w:numPr>
          <w:ilvl w:val="0"/>
          <w:numId w:val="1014"/>
        </w:numPr>
        <w:pStyle w:val="Compact"/>
      </w:pPr>
      <w:r>
        <w:t xml:space="preserve">Manual de Boas Práticas Farmacêuticas da Drogaria.</w:t>
      </w:r>
    </w:p>
    <w:p>
      <w:pPr>
        <w:numPr>
          <w:ilvl w:val="0"/>
          <w:numId w:val="1014"/>
        </w:numPr>
        <w:pStyle w:val="Compact"/>
      </w:pPr>
      <w:r>
        <w:t xml:space="preserve">POP 004 - Dispensação de Medicamentos.</w:t>
      </w:r>
    </w:p>
    <w:p>
      <w:pPr>
        <w:numPr>
          <w:ilvl w:val="0"/>
          <w:numId w:val="1014"/>
        </w:numPr>
        <w:pStyle w:val="Compact"/>
      </w:pPr>
      <w:r>
        <w:t xml:space="preserve">POP 007 - Prestação de Serviços Farmacêuticos Permitidos.</w:t>
      </w:r>
    </w:p>
    <w:p>
      <w:pPr>
        <w:numPr>
          <w:ilvl w:val="0"/>
          <w:numId w:val="1014"/>
        </w:numPr>
        <w:pStyle w:val="Compact"/>
      </w:pPr>
      <w:r>
        <w:t xml:space="preserve">POP 008 - Utilização e Descarte de Materiais Descartáveis.</w:t>
      </w:r>
    </w:p>
    <w:p>
      <w:pPr>
        <w:numPr>
          <w:ilvl w:val="0"/>
          <w:numId w:val="1014"/>
        </w:numPr>
        <w:pStyle w:val="Compact"/>
      </w:pPr>
      <w:r>
        <w:t xml:space="preserve">POP 018 - Instruções para Uso de Equipamentos de Proteção Individual (EPIs).</w:t>
      </w:r>
    </w:p>
    <w:p>
      <w:pPr>
        <w:numPr>
          <w:ilvl w:val="0"/>
          <w:numId w:val="1014"/>
        </w:numPr>
        <w:pStyle w:val="Compact"/>
      </w:pPr>
      <w:r>
        <w:t xml:space="preserve">Plano de Gerenciamento de Resíduos de Serviços de Saúde (PGRSS).</w:t>
      </w:r>
    </w:p>
    <w:p>
      <w:pPr>
        <w:pStyle w:val="FirstParagraph"/>
      </w:pPr>
      <w:r>
        <w:rPr>
          <w:b/>
        </w:rPr>
        <w:t xml:space="preserve">10. HISTÓRICO DE REVISÕES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Data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Descrição da Alteração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Elaborado por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Aprovado por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01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  <w:tc>
          <w:p>
            <w:pPr>
              <w:pStyle w:val="Compact"/>
              <w:jc w:val="left"/>
            </w:pPr>
            <w:r>
              <w:t xml:space="preserve">Emissão inicial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</w:tr>
      <w:tr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Assinatura do Farmacêutico Responsável Técnico: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[Nome Completo e CRF]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2025-06-02T13:30:21Z</dcterms:created>
  <dcterms:modified xsi:type="dcterms:W3CDTF">2025-06-02T13:30:21Z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