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017 - Aquisição, Conferência, Armazenamento, Escrituração, Dispensação e Controles de Medicamentos Sujeitos a Controle Especial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todos os procedimentos relacionados aos medicamentos sujeitos a controle especial (listas A1, A2, A3, B1, B2, C1, C2, C3, C5 - conforme aplicável à drogaria) na</w:t>
      </w:r>
      <w:r>
        <w:t xml:space="preserve"> </w:t>
      </w:r>
      <w:r>
        <w:rPr>
          <w:b/>
        </w:rPr>
        <w:t xml:space="preserve">[Nome da Drogaria]</w:t>
      </w:r>
      <w:r>
        <w:t xml:space="preserve">, desde a aquisição até a dispensação e escrituração, garantindo o cumprimento rigoroso da Portaria SVS/MS nº 344/98 e suas atualizações, da RDC 44/2009 e demais legislações pertinentes, visando prevenir o desvio e o uso indevido destes medicamentos.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todas as etapas do ciclo de vida dos medicamentos sujeitos a controle especial dentro da drogaria, envolvendo exclusivamente o farmacêutico responsável técnico e/ou seus substitutos legalmente habilitados.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 (e Farmacêutico Substituto):</w:t>
      </w:r>
      <w:r>
        <w:t xml:space="preserve"> </w:t>
      </w:r>
      <w:r>
        <w:t xml:space="preserve">É o</w:t>
      </w:r>
      <w:r>
        <w:t xml:space="preserve"> </w:t>
      </w:r>
      <w:r>
        <w:rPr>
          <w:b/>
        </w:rPr>
        <w:t xml:space="preserve">ÚNICO</w:t>
      </w:r>
      <w:r>
        <w:t xml:space="preserve"> </w:t>
      </w:r>
      <w:r>
        <w:t xml:space="preserve">responsável por todas as etapas descritas neste POP: qualificação específica de fornecedores, aquisição, conferência no recebimento, armazenamento seguro, escrituração (manual ou SNGPC), avaliação de receitas/notificações, dispensação, orientação ao paciente, guarda de receitas/notificações, elaboração e envio de balanços (BMPO, BSPO, RMNRA, etc.) e controle geral do estoque físico e escritural. Deve possuir Autorização Especial (AE) válida junto à ANVISA.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Responsável Legal:</w:t>
      </w:r>
      <w:r>
        <w:t xml:space="preserve"> </w:t>
      </w:r>
      <w:r>
        <w:t xml:space="preserve">Prover a infraestrutura necessária (armário seguro, sistema SNGPC se aplicável) e garantir as condições para que o farmacêutico cumpra suas responsabilidades legais.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Demais Funcionários:</w:t>
      </w:r>
      <w:r>
        <w:t xml:space="preserve"> </w:t>
      </w:r>
      <w:r>
        <w:rPr>
          <w:b/>
        </w:rPr>
        <w:t xml:space="preserve">NÃO</w:t>
      </w:r>
      <w:r>
        <w:t xml:space="preserve"> </w:t>
      </w:r>
      <w:r>
        <w:t xml:space="preserve">devem manusear, dispensar ou ter acesso irrestrito aos medicamentos controlados ou à sua documentação (receitas, livros, etc.). Devem encaminhar imediatamente qualquer prescrição ou solicitação referente a controlados ao farmacêutico.</w:t>
      </w:r>
    </w:p>
    <w:p>
      <w:pPr>
        <w:pStyle w:val="FirstParagraph"/>
      </w:pPr>
      <w:r>
        <w:rPr>
          <w:b/>
        </w:rPr>
        <w:t xml:space="preserve">4. MATERIAIS E EQUIPAMENTOS</w:t>
      </w:r>
    </w:p>
    <w:p>
      <w:pPr>
        <w:numPr>
          <w:ilvl w:val="0"/>
          <w:numId w:val="1002"/>
        </w:numPr>
        <w:pStyle w:val="Compact"/>
      </w:pPr>
      <w:r>
        <w:t xml:space="preserve">Autorização Especial (AE) da ANVISA válida.</w:t>
      </w:r>
    </w:p>
    <w:p>
      <w:pPr>
        <w:numPr>
          <w:ilvl w:val="0"/>
          <w:numId w:val="1002"/>
        </w:numPr>
        <w:pStyle w:val="Compact"/>
      </w:pPr>
      <w:r>
        <w:t xml:space="preserve">Armário exclusivo para guarda dos medicamentos controlados, resistente, trancado à chave, localizado em área de acesso restrito.</w:t>
      </w:r>
    </w:p>
    <w:p>
      <w:pPr>
        <w:numPr>
          <w:ilvl w:val="0"/>
          <w:numId w:val="1002"/>
        </w:numPr>
        <w:pStyle w:val="Compact"/>
      </w:pPr>
      <w:r>
        <w:t xml:space="preserve">Livros de escrituração específicos (se aplicável pela legislação local/tipo de controle) ou acesso ao Sistema Nacional de Gerenciamento de Produtos Controlados (SNGPC).</w:t>
      </w:r>
    </w:p>
    <w:p>
      <w:pPr>
        <w:numPr>
          <w:ilvl w:val="0"/>
          <w:numId w:val="1002"/>
        </w:numPr>
        <w:pStyle w:val="Compact"/>
      </w:pPr>
      <w:r>
        <w:t xml:space="preserve">Local seguro e organizado para arquivamento de receitas, notificações de receita retidas e balanços.</w:t>
      </w:r>
    </w:p>
    <w:p>
      <w:pPr>
        <w:numPr>
          <w:ilvl w:val="0"/>
          <w:numId w:val="1002"/>
        </w:numPr>
        <w:pStyle w:val="Compact"/>
      </w:pPr>
      <w:r>
        <w:t xml:space="preserve">Material de consulta: Portaria 344/98 atualizada, listas de substâncias controladas, RDCs pertinentes.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Qualificação de Fornecedores e Aquisição (Farmacêutico)</w:t>
      </w:r>
    </w:p>
    <w:p>
      <w:pPr>
        <w:numPr>
          <w:ilvl w:val="0"/>
          <w:numId w:val="1003"/>
        </w:numPr>
        <w:pStyle w:val="Compact"/>
      </w:pPr>
      <w:r>
        <w:t xml:space="preserve">Seguir o</w:t>
      </w:r>
      <w:r>
        <w:t xml:space="preserve"> </w:t>
      </w:r>
      <w:r>
        <w:rPr>
          <w:b/>
        </w:rPr>
        <w:t xml:space="preserve">POP 009 - Seleção e Qualificação de Fornecedores</w:t>
      </w:r>
      <w:r>
        <w:t xml:space="preserve">, verificando adicionalmente se o fornecedor (distribuidor) possui Autorização Especial (AE) válida para distribuir substâncias/medicamentos controlados.</w:t>
      </w:r>
    </w:p>
    <w:p>
      <w:pPr>
        <w:numPr>
          <w:ilvl w:val="0"/>
          <w:numId w:val="1003"/>
        </w:numPr>
        <w:pStyle w:val="Compact"/>
      </w:pPr>
      <w:r>
        <w:t xml:space="preserve">Realizar a compra somente de fornecedores qualificados e com AE válida.</w:t>
      </w:r>
    </w:p>
    <w:p>
      <w:pPr>
        <w:numPr>
          <w:ilvl w:val="0"/>
          <w:numId w:val="1003"/>
        </w:numPr>
        <w:pStyle w:val="Compact"/>
      </w:pPr>
      <w:r>
        <w:t xml:space="preserve">A Nota Fiscal de compra de medicamentos controlados deve atender aos requisitos específicos da Portaria 344/98 (ex: menção à lista da substância).</w:t>
      </w:r>
    </w:p>
    <w:p>
      <w:pPr>
        <w:pStyle w:val="FirstParagraph"/>
      </w:pPr>
      <w:r>
        <w:rPr>
          <w:b/>
        </w:rPr>
        <w:t xml:space="preserve">5.2. Recebimento e Conferência (Farmacêutico)</w:t>
      </w:r>
    </w:p>
    <w:p>
      <w:pPr>
        <w:numPr>
          <w:ilvl w:val="0"/>
          <w:numId w:val="1004"/>
        </w:numPr>
        <w:pStyle w:val="Compact"/>
      </w:pPr>
      <w:r>
        <w:t xml:space="preserve">O recebimento deve ser realizado</w:t>
      </w:r>
      <w:r>
        <w:t xml:space="preserve"> </w:t>
      </w:r>
      <w:r>
        <w:rPr>
          <w:b/>
        </w:rPr>
        <w:t xml:space="preserve">exclusivamente pelo farmacêutico</w:t>
      </w:r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Conferir a Nota Fiscal com o pedido e com os produtos físicos recebidos (nome, concentração, forma farmacêutica, fabricante, lote, quantidade, validade).</w:t>
      </w:r>
    </w:p>
    <w:p>
      <w:pPr>
        <w:numPr>
          <w:ilvl w:val="0"/>
          <w:numId w:val="1004"/>
        </w:numPr>
        <w:pStyle w:val="Compact"/>
      </w:pPr>
      <w:r>
        <w:t xml:space="preserve">Verificar a integridade das embalagens e a regularidade dos produtos (registro ANVISA).</w:t>
      </w:r>
    </w:p>
    <w:p>
      <w:pPr>
        <w:numPr>
          <w:ilvl w:val="0"/>
          <w:numId w:val="1004"/>
        </w:numPr>
        <w:pStyle w:val="Compact"/>
      </w:pPr>
      <w:r>
        <w:t xml:space="preserve">Conferir se os dados da Nota Fiscal estão corretos e completos conforme Portaria 344/98.</w:t>
      </w:r>
    </w:p>
    <w:p>
      <w:pPr>
        <w:numPr>
          <w:ilvl w:val="0"/>
          <w:numId w:val="1004"/>
        </w:numPr>
        <w:pStyle w:val="Compact"/>
      </w:pPr>
      <w:r>
        <w:t xml:space="preserve">Em caso de qualquer divergência ou irregularidade, segregar o produto, não dar entrada no estoque e contatar imediatamente o fornecedor e, se necessário, a vigilância sanitária.</w:t>
      </w:r>
    </w:p>
    <w:p>
      <w:pPr>
        <w:pStyle w:val="FirstParagraph"/>
      </w:pPr>
      <w:r>
        <w:rPr>
          <w:b/>
        </w:rPr>
        <w:t xml:space="preserve">5.3. Armazenamento (Farmacêutico)</w:t>
      </w:r>
    </w:p>
    <w:p>
      <w:pPr>
        <w:numPr>
          <w:ilvl w:val="0"/>
          <w:numId w:val="1005"/>
        </w:numPr>
        <w:pStyle w:val="Compact"/>
      </w:pPr>
      <w:r>
        <w:t xml:space="preserve">Após a conferência e aceite, armazenar</w:t>
      </w:r>
      <w:r>
        <w:t xml:space="preserve"> </w:t>
      </w:r>
      <w:r>
        <w:rPr>
          <w:b/>
        </w:rPr>
        <w:t xml:space="preserve">imediatamente</w:t>
      </w:r>
      <w:r>
        <w:t xml:space="preserve"> </w:t>
      </w:r>
      <w:r>
        <w:t xml:space="preserve">os medicamentos controlados no armário exclusivo, resistente e trancado à chave.</w:t>
      </w:r>
    </w:p>
    <w:p>
      <w:pPr>
        <w:numPr>
          <w:ilvl w:val="0"/>
          <w:numId w:val="1005"/>
        </w:numPr>
        <w:pStyle w:val="Compact"/>
      </w:pPr>
      <w:r>
        <w:t xml:space="preserve">O armário deve estar localizado em área de acesso restrito (ex: sala do farmacêutico, estoque restrito).</w:t>
      </w:r>
    </w:p>
    <w:p>
      <w:pPr>
        <w:numPr>
          <w:ilvl w:val="0"/>
          <w:numId w:val="1005"/>
        </w:numPr>
        <w:pStyle w:val="Compact"/>
      </w:pPr>
      <w:r>
        <w:t xml:space="preserve">A chave do armário deve permanecer sob a guarda e responsabilidade</w:t>
      </w:r>
      <w:r>
        <w:t xml:space="preserve"> </w:t>
      </w:r>
      <w:r>
        <w:rPr>
          <w:b/>
        </w:rPr>
        <w:t xml:space="preserve">exclusiva</w:t>
      </w:r>
      <w:r>
        <w:t xml:space="preserve"> </w:t>
      </w:r>
      <w:r>
        <w:t xml:space="preserve">do farmacêutico.</w:t>
      </w:r>
    </w:p>
    <w:p>
      <w:pPr>
        <w:numPr>
          <w:ilvl w:val="0"/>
          <w:numId w:val="1005"/>
        </w:numPr>
        <w:pStyle w:val="Compact"/>
      </w:pPr>
      <w:r>
        <w:t xml:space="preserve">Organizar os medicamentos dentro do armário de forma lógica (ex: por lista, ordem alfabética), aplicando o sistema PVPS/FEFO.</w:t>
      </w:r>
    </w:p>
    <w:p>
      <w:pPr>
        <w:pStyle w:val="FirstParagraph"/>
      </w:pPr>
      <w:r>
        <w:rPr>
          <w:b/>
        </w:rPr>
        <w:t xml:space="preserve">5.4. Escrituração (Farmacêutico)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SNGPC:</w:t>
      </w:r>
      <w:r>
        <w:t xml:space="preserve"> </w:t>
      </w:r>
      <w:r>
        <w:t xml:space="preserve">A drogaria</w:t>
      </w:r>
      <w:r>
        <w:t xml:space="preserve"> </w:t>
      </w:r>
      <w:r>
        <w:rPr>
          <w:b/>
        </w:rPr>
        <w:t xml:space="preserve">DEVE</w:t>
      </w:r>
      <w:r>
        <w:t xml:space="preserve"> </w:t>
      </w:r>
      <w:r>
        <w:t xml:space="preserve">estar credenciada e realizar a escrituração eletrônica de entrada (compras), saída (dispensações, perdas, transferências) e perdas de medicamentos antimicrobianos (conforme RDC 471/21) e controlados (Portaria 344/98) através do SNGPC, conforme prazos e normas da ANVISA.</w:t>
      </w:r>
    </w:p>
    <w:p>
      <w:pPr>
        <w:numPr>
          <w:ilvl w:val="1"/>
          <w:numId w:val="1007"/>
        </w:numPr>
        <w:pStyle w:val="Compact"/>
      </w:pPr>
      <w:r>
        <w:t xml:space="preserve">Registrar as entradas no SNGPC após o recebimento e conferência, com base na Nota Fiscal.</w:t>
      </w:r>
    </w:p>
    <w:p>
      <w:pPr>
        <w:numPr>
          <w:ilvl w:val="1"/>
          <w:numId w:val="1007"/>
        </w:numPr>
        <w:pStyle w:val="Compact"/>
      </w:pPr>
      <w:r>
        <w:t xml:space="preserve">Registrar as saídas por dispensação após a avaliação e retenção da receita/notificação válida.</w:t>
      </w:r>
    </w:p>
    <w:p>
      <w:pPr>
        <w:numPr>
          <w:ilvl w:val="1"/>
          <w:numId w:val="1007"/>
        </w:numPr>
        <w:pStyle w:val="Compact"/>
      </w:pPr>
      <w:r>
        <w:t xml:space="preserve">Registrar as perdas (vencimento, avaria, furto) conforme ocorrência e documentação comprobatória.</w:t>
      </w:r>
    </w:p>
    <w:p>
      <w:pPr>
        <w:numPr>
          <w:ilvl w:val="1"/>
          <w:numId w:val="1007"/>
        </w:numPr>
        <w:pStyle w:val="Compact"/>
      </w:pPr>
      <w:r>
        <w:t xml:space="preserve">Realizar o fechamento do inventário e a transmissão dos arquivos XML ao SNGPC dentro do prazo legal (geralmente semanal).</w:t>
      </w:r>
    </w:p>
    <w:p>
      <w:pPr>
        <w:numPr>
          <w:ilvl w:val="1"/>
          <w:numId w:val="1007"/>
        </w:numPr>
        <w:pStyle w:val="Compact"/>
      </w:pPr>
      <w:r>
        <w:t xml:space="preserve">Manter o certificado digital do farmacêutico (e-CPF) válido e seguro.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Livros Manuais (Se Exigido):</w:t>
      </w:r>
      <w:r>
        <w:t xml:space="preserve"> </w:t>
      </w:r>
      <w:r>
        <w:t xml:space="preserve">Caso a legislação local ou alguma situação específica ainda exija livros manuais para algum tipo de controle, estes devem ser escriturados pelo farmacêutico, sem rasuras, mantendo o estoque atualizado e seguindo as normas da Portaria 344/98.</w:t>
      </w:r>
    </w:p>
    <w:p>
      <w:pPr>
        <w:pStyle w:val="FirstParagraph"/>
      </w:pPr>
      <w:r>
        <w:rPr>
          <w:b/>
        </w:rPr>
        <w:t xml:space="preserve">5.5. Dispensação (Farmacêutico - ATO PRIVATIVO)</w:t>
      </w:r>
    </w:p>
    <w:p>
      <w:pPr>
        <w:numPr>
          <w:ilvl w:val="0"/>
          <w:numId w:val="1008"/>
        </w:numPr>
        <w:pStyle w:val="Compact"/>
      </w:pPr>
      <w:r>
        <w:t xml:space="preserve">A dispensação de medicamentos controlados só pode ser realizada</w:t>
      </w:r>
      <w:r>
        <w:t xml:space="preserve"> </w:t>
      </w:r>
      <w:r>
        <w:rPr>
          <w:b/>
        </w:rPr>
        <w:t xml:space="preserve">pelo farmacêutico</w:t>
      </w:r>
      <w:r>
        <w:t xml:space="preserve">, mediante apresentação e retenção da Notificação de Receita (Amarela - A1/A2/A3; Azul - B1/B2) ou Receita de Controle Especial em 2 vias (listas C1, C2, C3, C5), conforme a lista da substância.</w:t>
      </w:r>
    </w:p>
    <w:p>
      <w:pPr>
        <w:numPr>
          <w:ilvl w:val="0"/>
          <w:numId w:val="1008"/>
        </w:numPr>
        <w:pStyle w:val="Compact"/>
      </w:pPr>
      <w:r>
        <w:t xml:space="preserve">Seguir rigorosamente os procedimentos de avaliação da receita/notificação descritos no</w:t>
      </w:r>
      <w:r>
        <w:t xml:space="preserve"> </w:t>
      </w:r>
      <w:r>
        <w:rPr>
          <w:b/>
        </w:rPr>
        <w:t xml:space="preserve">POP 004 - Dispensação de Medicamentos (item 5.5)</w:t>
      </w:r>
      <w:r>
        <w:t xml:space="preserve">, verificando:</w:t>
      </w:r>
    </w:p>
    <w:p>
      <w:pPr>
        <w:numPr>
          <w:ilvl w:val="1"/>
          <w:numId w:val="1009"/>
        </w:numPr>
        <w:pStyle w:val="Compact"/>
      </w:pPr>
      <w:r>
        <w:t xml:space="preserve">Tipo de receituário correto para a lista.</w:t>
      </w:r>
    </w:p>
    <w:p>
      <w:pPr>
        <w:numPr>
          <w:ilvl w:val="1"/>
          <w:numId w:val="1009"/>
        </w:numPr>
        <w:pStyle w:val="Compact"/>
      </w:pPr>
      <w:r>
        <w:t xml:space="preserve">Validade da receita/notificação (geralmente 30 dias, exceto alguns casos).</w:t>
      </w:r>
    </w:p>
    <w:p>
      <w:pPr>
        <w:numPr>
          <w:ilvl w:val="1"/>
          <w:numId w:val="1009"/>
        </w:numPr>
        <w:pStyle w:val="Compact"/>
      </w:pPr>
      <w:r>
        <w:t xml:space="preserve">Preenchimento completo de TODOS os campos obrigatórios (emitente, paciente, medicamento, quantidade, posologia, data, assinatura, etc.).</w:t>
      </w:r>
    </w:p>
    <w:p>
      <w:pPr>
        <w:numPr>
          <w:ilvl w:val="1"/>
          <w:numId w:val="1009"/>
        </w:numPr>
        <w:pStyle w:val="Compact"/>
      </w:pPr>
      <w:r>
        <w:t xml:space="preserve">Quantidade máxima permitida por receita/notificação.</w:t>
      </w:r>
    </w:p>
    <w:p>
      <w:pPr>
        <w:numPr>
          <w:ilvl w:val="1"/>
          <w:numId w:val="1009"/>
        </w:numPr>
        <w:pStyle w:val="Compact"/>
      </w:pPr>
      <w:r>
        <w:t xml:space="preserve">Ausência de rasuras ou ilegibilidade.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Consulta de Numeração (se necessário):</w:t>
      </w:r>
      <w:r>
        <w:t xml:space="preserve"> </w:t>
      </w:r>
      <w:r>
        <w:t xml:space="preserve">Consultar a validade da numeração da Notificação de Receita junto à vigilância sanitária local em caso de dúvidas.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Retenção:</w:t>
      </w:r>
      <w:r>
        <w:t xml:space="preserve"> </w:t>
      </w:r>
      <w:r>
        <w:t xml:space="preserve">Reter a Notificação de Receita ou a 1ª via da Receita de Controle Especial.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Anotações:</w:t>
      </w:r>
      <w:r>
        <w:t xml:space="preserve"> </w:t>
      </w:r>
      <w:r>
        <w:t xml:space="preserve">Anotar no verso da receita/notificação retida a quantidade dispensada, lote, data, dados da drogaria e assinatura/carimbo do farmacêutico.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Orientação:</w:t>
      </w:r>
      <w:r>
        <w:t xml:space="preserve"> </w:t>
      </w:r>
      <w:r>
        <w:t xml:space="preserve">Prestar orientação completa ao paciente sobre o uso, riscos (dependência, tolerância), efeitos adversos, interações e descarte adequado.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Registro no SNGPC:</w:t>
      </w:r>
      <w:r>
        <w:t xml:space="preserve"> </w:t>
      </w:r>
      <w:r>
        <w:t xml:space="preserve">Registrar a saída por dispensação no SNGPC.</w:t>
      </w:r>
    </w:p>
    <w:p>
      <w:pPr>
        <w:pStyle w:val="FirstParagraph"/>
      </w:pPr>
      <w:r>
        <w:rPr>
          <w:b/>
        </w:rPr>
        <w:t xml:space="preserve">5.6. Guarda e Arquivamento de Documentos (Farmacêutico)</w:t>
      </w:r>
    </w:p>
    <w:p>
      <w:pPr>
        <w:numPr>
          <w:ilvl w:val="0"/>
          <w:numId w:val="1010"/>
        </w:numPr>
        <w:pStyle w:val="Compact"/>
      </w:pPr>
      <w:r>
        <w:t xml:space="preserve">Arquivar as Notificações de Receita e as Receitas de Controle Especial retidas em ordem cronológica, separadas por tipo/lista, se necessário.</w:t>
      </w:r>
    </w:p>
    <w:p>
      <w:pPr>
        <w:numPr>
          <w:ilvl w:val="0"/>
          <w:numId w:val="1010"/>
        </w:numPr>
        <w:pStyle w:val="Compact"/>
      </w:pPr>
      <w:r>
        <w:t xml:space="preserve">Manter os documentos arquivados por</w:t>
      </w:r>
      <w:r>
        <w:t xml:space="preserve"> </w:t>
      </w:r>
      <w:r>
        <w:rPr>
          <w:b/>
        </w:rPr>
        <w:t xml:space="preserve">2 (dois) anos</w:t>
      </w:r>
      <w:r>
        <w:t xml:space="preserve"> </w:t>
      </w:r>
      <w:r>
        <w:t xml:space="preserve">(Receitas de Controle Especial) ou</w:t>
      </w:r>
      <w:r>
        <w:t xml:space="preserve"> </w:t>
      </w:r>
      <w:r>
        <w:rPr>
          <w:b/>
        </w:rPr>
        <w:t xml:space="preserve">5 (cinco) anos</w:t>
      </w:r>
      <w:r>
        <w:t xml:space="preserve"> </w:t>
      </w:r>
      <w:r>
        <w:t xml:space="preserve">(Notificações de Receita A, B, B2).</w:t>
      </w:r>
    </w:p>
    <w:p>
      <w:pPr>
        <w:numPr>
          <w:ilvl w:val="0"/>
          <w:numId w:val="1010"/>
        </w:numPr>
        <w:pStyle w:val="Compact"/>
      </w:pPr>
      <w:r>
        <w:t xml:space="preserve">Arquivar os comprovantes de envio dos arquivos ao SNGPC e os relatórios/inventários gerados pelo sistema.</w:t>
      </w:r>
    </w:p>
    <w:p>
      <w:pPr>
        <w:numPr>
          <w:ilvl w:val="0"/>
          <w:numId w:val="1010"/>
        </w:numPr>
        <w:pStyle w:val="Compact"/>
      </w:pPr>
      <w:r>
        <w:t xml:space="preserve">Arquivar os Balanços (BMPO, BSPO, RMNRA) e seus comprovantes de entrega à vigilância sanitária.</w:t>
      </w:r>
    </w:p>
    <w:p>
      <w:pPr>
        <w:numPr>
          <w:ilvl w:val="0"/>
          <w:numId w:val="1010"/>
        </w:numPr>
        <w:pStyle w:val="Compact"/>
      </w:pPr>
      <w:r>
        <w:t xml:space="preserve">Manter os documentos em local seguro, protegido e de acesso restrito ao farmacêutico.</w:t>
      </w:r>
    </w:p>
    <w:p>
      <w:pPr>
        <w:pStyle w:val="FirstParagraph"/>
      </w:pPr>
      <w:r>
        <w:rPr>
          <w:b/>
        </w:rPr>
        <w:t xml:space="preserve">5.7. Balanços e Inventário (Farmacêutico)</w:t>
      </w:r>
    </w:p>
    <w:p>
      <w:pPr>
        <w:numPr>
          <w:ilvl w:val="0"/>
          <w:numId w:val="1011"/>
        </w:numPr>
        <w:pStyle w:val="Compact"/>
      </w:pPr>
      <w:r>
        <w:t xml:space="preserve">Realizar inventário físico periódico (ex: mensal ou trimestral) dos medicamentos controlados e comparar com o estoque escritural (SNGPC/Livros).</w:t>
      </w:r>
    </w:p>
    <w:p>
      <w:pPr>
        <w:numPr>
          <w:ilvl w:val="0"/>
          <w:numId w:val="1011"/>
        </w:numPr>
        <w:pStyle w:val="Compact"/>
      </w:pPr>
      <w:r>
        <w:t xml:space="preserve">Investigar e justificar quaisquer divergências encontradas.</w:t>
      </w:r>
    </w:p>
    <w:p>
      <w:pPr>
        <w:numPr>
          <w:ilvl w:val="0"/>
          <w:numId w:val="1011"/>
        </w:numPr>
        <w:pStyle w:val="Compact"/>
      </w:pPr>
      <w:r>
        <w:t xml:space="preserve">Elaborar os balanços exigidos pela Portaria 344/98 e pela vigilância sanitária local (BMPO - Balanço de Medicamentos Psicoativos e Outros; BSPO - Balanço de Substâncias Psicoativas e Outras; RMNRA - Relação Mensal de Notificações de Receita A, etc.) nos prazos estabelecidos.</w:t>
      </w:r>
    </w:p>
    <w:p>
      <w:pPr>
        <w:numPr>
          <w:ilvl w:val="0"/>
          <w:numId w:val="1011"/>
        </w:numPr>
        <w:pStyle w:val="Compact"/>
      </w:pPr>
      <w:r>
        <w:t xml:space="preserve">Encaminhar os balanços à autoridade sanitária competente (municipal ou estadual) conforme fluxo definido localmente, mantendo cópia e comprovante de entrega.</w:t>
      </w:r>
    </w:p>
    <w:p>
      <w:pPr>
        <w:pStyle w:val="FirstParagraph"/>
      </w:pPr>
      <w:r>
        <w:rPr>
          <w:b/>
        </w:rPr>
        <w:t xml:space="preserve">5.8. Perdas e Devoluções (Farmacêutico)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Perdas (Vencimento, Avaria, Furto/Roubo):</w:t>
      </w:r>
      <w:r>
        <w:t xml:space="preserve"> </w:t>
      </w:r>
      <w:r>
        <w:t xml:space="preserve">Registrar a ocorrência, dar baixa no SNGPC/livro com justificativa e documentação comprobatória (ex: Boletim de Ocorrência para furto/roubo). Segregar o produto (se avariado/vencido) e proceder ao descarte conforme</w:t>
      </w:r>
      <w:r>
        <w:t xml:space="preserve"> </w:t>
      </w:r>
      <w:r>
        <w:rPr>
          <w:b/>
        </w:rPr>
        <w:t xml:space="preserve">POP 005</w:t>
      </w:r>
      <w:r>
        <w:t xml:space="preserve"> </w:t>
      </w:r>
      <w:r>
        <w:t xml:space="preserve">e</w:t>
      </w:r>
      <w:r>
        <w:t xml:space="preserve"> </w:t>
      </w:r>
      <w:r>
        <w:rPr>
          <w:b/>
        </w:rPr>
        <w:t xml:space="preserve">PGRSS</w:t>
      </w:r>
      <w:r>
        <w:t xml:space="preserve">, verificando se há exigências adicionais da vigilância sanitária para descarte de controlados.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Devolução ao Fornecedor:</w:t>
      </w:r>
      <w:r>
        <w:t xml:space="preserve"> </w:t>
      </w:r>
      <w:r>
        <w:t xml:space="preserve">Seguir os procedimentos fiscais e sanitários para devolução, emitindo Nota Fiscal de devolução, registrando a saída no SNGPC/livro e comunicando à vigilância sanitária, se necessário.</w:t>
      </w:r>
    </w:p>
    <w:p>
      <w:pPr>
        <w:pStyle w:val="FirstParagraph"/>
      </w:pPr>
      <w:r>
        <w:rPr>
          <w:b/>
        </w:rPr>
        <w:t xml:space="preserve">6. MONITORAMENTO E VERIFICAÇÃO</w:t>
      </w:r>
    </w:p>
    <w:p>
      <w:pPr>
        <w:numPr>
          <w:ilvl w:val="0"/>
          <w:numId w:val="1013"/>
        </w:numPr>
        <w:pStyle w:val="Compact"/>
      </w:pPr>
      <w:r>
        <w:t xml:space="preserve">Conferência frequente do estoque físico vs. escritural (SNGPC/Livros).</w:t>
      </w:r>
    </w:p>
    <w:p>
      <w:pPr>
        <w:numPr>
          <w:ilvl w:val="0"/>
          <w:numId w:val="1013"/>
        </w:numPr>
        <w:pStyle w:val="Compact"/>
      </w:pPr>
      <w:r>
        <w:t xml:space="preserve">Auditoria periódica das receitas/notificações arquivadas.</w:t>
      </w:r>
    </w:p>
    <w:p>
      <w:pPr>
        <w:numPr>
          <w:ilvl w:val="0"/>
          <w:numId w:val="1013"/>
        </w:numPr>
        <w:pStyle w:val="Compact"/>
      </w:pPr>
      <w:r>
        <w:t xml:space="preserve">Verificação da correta escrituração e envio dos arquivos ao SNGPC.</w:t>
      </w:r>
    </w:p>
    <w:p>
      <w:pPr>
        <w:numPr>
          <w:ilvl w:val="0"/>
          <w:numId w:val="1013"/>
        </w:numPr>
        <w:pStyle w:val="Compact"/>
      </w:pPr>
      <w:r>
        <w:t xml:space="preserve">Verificação da elaboração e envio dos balanços nos prazos.</w:t>
      </w:r>
    </w:p>
    <w:p>
      <w:pPr>
        <w:numPr>
          <w:ilvl w:val="0"/>
          <w:numId w:val="1013"/>
        </w:numPr>
        <w:pStyle w:val="Compact"/>
      </w:pPr>
      <w:r>
        <w:t xml:space="preserve">Conferência da validade da AE da drogaria e dos fornecedores.</w:t>
      </w:r>
    </w:p>
    <w:p>
      <w:pPr>
        <w:numPr>
          <w:ilvl w:val="0"/>
          <w:numId w:val="1013"/>
        </w:numPr>
        <w:pStyle w:val="Compact"/>
      </w:pPr>
      <w:r>
        <w:t xml:space="preserve">Verificação da segurança do armazenamento (armário trancado).</w:t>
      </w:r>
    </w:p>
    <w:p>
      <w:pPr>
        <w:pStyle w:val="FirstParagraph"/>
      </w:pPr>
      <w:r>
        <w:rPr>
          <w:b/>
        </w:rPr>
        <w:t xml:space="preserve">7. REGISTROS</w:t>
      </w:r>
    </w:p>
    <w:p>
      <w:pPr>
        <w:numPr>
          <w:ilvl w:val="0"/>
          <w:numId w:val="1014"/>
        </w:numPr>
        <w:pStyle w:val="Compact"/>
      </w:pPr>
      <w:r>
        <w:t xml:space="preserve">Autorização Especial (AE) válida.</w:t>
      </w:r>
    </w:p>
    <w:p>
      <w:pPr>
        <w:numPr>
          <w:ilvl w:val="0"/>
          <w:numId w:val="1014"/>
        </w:numPr>
        <w:pStyle w:val="Compact"/>
      </w:pPr>
      <w:r>
        <w:t xml:space="preserve">Notas Fiscais de compra e devolução de controlados.</w:t>
      </w:r>
    </w:p>
    <w:p>
      <w:pPr>
        <w:numPr>
          <w:ilvl w:val="0"/>
          <w:numId w:val="1014"/>
        </w:numPr>
        <w:pStyle w:val="Compact"/>
      </w:pPr>
      <w:r>
        <w:t xml:space="preserve">Notificações de Receita e Receitas de Controle Especial retidas e arquivadas.</w:t>
      </w:r>
    </w:p>
    <w:p>
      <w:pPr>
        <w:numPr>
          <w:ilvl w:val="0"/>
          <w:numId w:val="1014"/>
        </w:numPr>
        <w:pStyle w:val="Compact"/>
      </w:pPr>
      <w:r>
        <w:t xml:space="preserve">Livros de escrituração (se aplicável).</w:t>
      </w:r>
    </w:p>
    <w:p>
      <w:pPr>
        <w:numPr>
          <w:ilvl w:val="0"/>
          <w:numId w:val="1014"/>
        </w:numPr>
        <w:pStyle w:val="Compact"/>
      </w:pPr>
      <w:r>
        <w:t xml:space="preserve">Arquivos XML enviados ao SNGPC e relatórios/inventários do sistema.</w:t>
      </w:r>
    </w:p>
    <w:p>
      <w:pPr>
        <w:numPr>
          <w:ilvl w:val="0"/>
          <w:numId w:val="1014"/>
        </w:numPr>
        <w:pStyle w:val="Compact"/>
      </w:pPr>
      <w:r>
        <w:t xml:space="preserve">Balanços (BMPO, BSPO, RMNRA, etc.) e comprovantes de entrega.</w:t>
      </w:r>
    </w:p>
    <w:p>
      <w:pPr>
        <w:numPr>
          <w:ilvl w:val="0"/>
          <w:numId w:val="1014"/>
        </w:numPr>
        <w:pStyle w:val="Compact"/>
      </w:pPr>
      <w:r>
        <w:t xml:space="preserve">Registros de perdas (com justificativa e documentação).</w:t>
      </w:r>
    </w:p>
    <w:p>
      <w:pPr>
        <w:numPr>
          <w:ilvl w:val="0"/>
          <w:numId w:val="1014"/>
        </w:numPr>
        <w:pStyle w:val="Compact"/>
      </w:pPr>
      <w:r>
        <w:t xml:space="preserve">Registros de inventário físico.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15"/>
        </w:numPr>
        <w:pStyle w:val="Compact"/>
      </w:pPr>
      <w:r>
        <w:t xml:space="preserve">Portaria SVS/MS nº 344, de 12 de maio de 1998 (e suas atualizações) - Aprova o Regulamento Técnico sobre substâncias e medicamentos sujeitos a controle especial.</w:t>
      </w:r>
    </w:p>
    <w:p>
      <w:pPr>
        <w:numPr>
          <w:ilvl w:val="0"/>
          <w:numId w:val="1015"/>
        </w:numPr>
        <w:pStyle w:val="Compact"/>
      </w:pPr>
      <w:r>
        <w:t xml:space="preserve">Resolução RDC nº 44, de 17 de agosto de 2009 - ANVISA.</w:t>
      </w:r>
    </w:p>
    <w:p>
      <w:pPr>
        <w:numPr>
          <w:ilvl w:val="0"/>
          <w:numId w:val="1015"/>
        </w:numPr>
        <w:pStyle w:val="Compact"/>
      </w:pPr>
      <w:r>
        <w:t xml:space="preserve">Resolução RDC nº 586, de 17 de dezembro de 2021 - Dispõe sobre o Sistema Nacional de Gerenciamento de Produtos Controlados - SNGPC (e suas atualizações).</w:t>
      </w:r>
    </w:p>
    <w:p>
      <w:pPr>
        <w:numPr>
          <w:ilvl w:val="0"/>
          <w:numId w:val="1015"/>
        </w:numPr>
        <w:pStyle w:val="Compact"/>
      </w:pPr>
      <w:r>
        <w:t xml:space="preserve">Resolução RDC nº 222, de 28 de março de 2018 - PGRSS (para descarte).</w:t>
      </w:r>
    </w:p>
    <w:p>
      <w:pPr>
        <w:numPr>
          <w:ilvl w:val="0"/>
          <w:numId w:val="1015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15"/>
        </w:numPr>
        <w:pStyle w:val="Compact"/>
      </w:pPr>
      <w:r>
        <w:t xml:space="preserve">POP 002, POP 004, POP 005, POP 009.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2025-06-02T13:30:20Z</dcterms:created>
  <dcterms:modified xsi:type="dcterms:W3CDTF">2025-06-02T13:30:20Z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