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008 - Utilização e Descarte de Materiais Descartáveis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Padronizar a utilização correta e o descarte seguro de todos os materiais descartáveis utilizados na drogaria, especialmente aqueles gerados durante a prestação de serviços farmacêuticos, garantindo a segurança dos usuários e funcionários, prevenindo a contaminação e cumprindo as exigências da RDC 44/2009 e do Plano de Gerenciamento de Resíduos de Serviços de Saúde (PGRSS - RDC 222/2018).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todos os materiais de uso único utilizados na drogaria, incluindo, mas não se limitando a: luvas de procedimento, máscaras, toucas, agulhas, seringas, lancetas, fitas reagentes de glicemia, algodão, gazes, espátulas, abaixadores de língua, materiais de limpeza descartáveis, embalagens primárias violadas (quando aplicável ao descarte), e quaisquer outros itens definidos como descartáveis.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Garantir a disponibilidade de materiais descartáveis adequados e em quantidade suficiente. Assegurar que os procedimentos de uso e descarte sejam cumpridos. Supervisionar o correto manejo dos resíduos gerados. Incluir este POP nos treinamentos da equipe. Garantir a existência e o cumprimento do PGRSS.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Funcionários que Utilizam Materiais Descartáveis:</w:t>
      </w:r>
      <w:r>
        <w:t xml:space="preserve"> </w:t>
      </w:r>
      <w:r>
        <w:t xml:space="preserve">Utilizar os materiais descartáveis de forma correta e apenas uma vez. Descartar imediatamente após o uso no recipiente apropriado, conforme a classificação do resíduo (perfurocortante, comum, químico, biológico - se aplicável). Utilizar os EPIs necessários durante os procedimentos que geram descarte.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Funcionários Responsáveis pela Limpeza e Coleta Interna de Resíduos:</w:t>
      </w:r>
      <w:r>
        <w:t xml:space="preserve"> </w:t>
      </w:r>
      <w:r>
        <w:t xml:space="preserve">Manusear os recipientes de descarte com cuidado, utilizando EPIs. Transportar os resíduos conforme o PGRSS.</w:t>
      </w:r>
    </w:p>
    <w:p>
      <w:pPr>
        <w:pStyle w:val="FirstParagraph"/>
      </w:pPr>
      <w:r>
        <w:rPr>
          <w:b/>
        </w:rPr>
        <w:t xml:space="preserve">4. MATERIAIS E EQUIPAMENTOS</w:t>
      </w:r>
    </w:p>
    <w:p>
      <w:pPr>
        <w:numPr>
          <w:ilvl w:val="0"/>
          <w:numId w:val="1002"/>
        </w:numPr>
        <w:pStyle w:val="Compact"/>
      </w:pPr>
      <w:r>
        <w:t xml:space="preserve">Materiais descartáveis diversos (luvas, máscaras, agulhas, seringas, lancetas, fitas, algodão, etc.) regularizados na ANVISA.</w:t>
      </w:r>
    </w:p>
    <w:p>
      <w:pPr>
        <w:numPr>
          <w:ilvl w:val="0"/>
          <w:numId w:val="1002"/>
        </w:numPr>
        <w:pStyle w:val="Compact"/>
      </w:pPr>
      <w:r>
        <w:t xml:space="preserve">Recipientes para descarte, devidamente identificados conforme PGRSS:</w:t>
      </w:r>
    </w:p>
    <w:p>
      <w:pPr>
        <w:numPr>
          <w:ilvl w:val="1"/>
          <w:numId w:val="1003"/>
        </w:numPr>
        <w:pStyle w:val="Compact"/>
      </w:pPr>
      <w:r>
        <w:t xml:space="preserve">Coletores rígidos para perfurocortantes (Grupo E) - identificados com símbolo de risco biológico e inscrição</w:t>
      </w:r>
      <w:r>
        <w:t xml:space="preserve"> </w:t>
      </w:r>
      <w:r>
        <w:t xml:space="preserve">“</w:t>
      </w:r>
      <w:r>
        <w:t xml:space="preserve">Perfurocortante</w:t>
      </w:r>
      <w:r>
        <w:t xml:space="preserve">”</w:t>
      </w:r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Lixeiras com tampa e pedal e saco de lixo comum (Grupo D) - cor preta/azul.</w:t>
      </w:r>
    </w:p>
    <w:p>
      <w:pPr>
        <w:numPr>
          <w:ilvl w:val="1"/>
          <w:numId w:val="1003"/>
        </w:numPr>
        <w:pStyle w:val="Compact"/>
      </w:pPr>
      <w:r>
        <w:t xml:space="preserve">Lixeiras com tampa e pedal e saco branco leitoso (Grupo A - se gerar) - identificado com símbolo de risco biológico.</w:t>
      </w:r>
    </w:p>
    <w:p>
      <w:pPr>
        <w:numPr>
          <w:ilvl w:val="1"/>
          <w:numId w:val="1003"/>
        </w:numPr>
        <w:pStyle w:val="Compact"/>
      </w:pPr>
      <w:r>
        <w:t xml:space="preserve">Recipientes rígidos para resíduos químicos (Grupo B - se gerar descarte químico direto do uso) - identificados com símbolo de risco químico.</w:t>
      </w:r>
    </w:p>
    <w:p>
      <w:pPr>
        <w:numPr>
          <w:ilvl w:val="0"/>
          <w:numId w:val="1002"/>
        </w:numPr>
        <w:pStyle w:val="Compact"/>
      </w:pPr>
      <w:r>
        <w:t xml:space="preserve">EPIs (luvas de procedimento, luvas de borracha para limpeza, máscaras, óculos de proteção, aventais, se necessário).</w:t>
      </w:r>
    </w:p>
    <w:p>
      <w:pPr>
        <w:pStyle w:val="FirstParagraph"/>
      </w:pPr>
      <w:r>
        <w:rPr>
          <w:b/>
        </w:rPr>
        <w:t xml:space="preserve">5. DESCRIÇÃO DO PROCEDIMENTO</w:t>
      </w:r>
    </w:p>
    <w:p>
      <w:pPr>
        <w:pStyle w:val="BodyText"/>
      </w:pPr>
      <w:r>
        <w:rPr>
          <w:b/>
        </w:rPr>
        <w:t xml:space="preserve">5.1. Utilização de Materiais Descartáveis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Seleção:</w:t>
      </w:r>
      <w:r>
        <w:t xml:space="preserve"> </w:t>
      </w:r>
      <w:r>
        <w:t xml:space="preserve">Utilizar o material descartável apropriado para o procedimento a ser realizado.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Verificação:</w:t>
      </w:r>
      <w:r>
        <w:t xml:space="preserve"> </w:t>
      </w:r>
      <w:r>
        <w:t xml:space="preserve">Verificar a integridade da embalagem e o prazo de validade do material antes do uso.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Uso Único:</w:t>
      </w:r>
      <w:r>
        <w:t xml:space="preserve"> </w:t>
      </w:r>
      <w:r>
        <w:t xml:space="preserve">Utilizar o material descartável apenas UMA VEZ. É VEDADA a reutilização de qualquer material descartável (agulhas, seringas, luvas, lancetas, etc.).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Técnica:</w:t>
      </w:r>
      <w:r>
        <w:t xml:space="preserve"> </w:t>
      </w:r>
      <w:r>
        <w:t xml:space="preserve">Utilizar a técnica correta para cada procedimento, minimizando riscos de acidentes e contaminação (ex: não reencapar agulhas).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EPIs:</w:t>
      </w:r>
      <w:r>
        <w:t xml:space="preserve"> </w:t>
      </w:r>
      <w:r>
        <w:t xml:space="preserve">Utilizar os Equipamentos de Proteção Individual (EPIs) adequados durante os procedimentos que envolvem materiais descartáveis (ex: luvas para administração de injetáveis, aferição de glicemia, curativos).</w:t>
      </w:r>
    </w:p>
    <w:p>
      <w:pPr>
        <w:pStyle w:val="FirstParagraph"/>
      </w:pPr>
      <w:r>
        <w:rPr>
          <w:b/>
        </w:rPr>
        <w:t xml:space="preserve">5.2. Descarte Imediato Após o Uso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Perfurocortantes (Grupo E - Agulhas, Seringas com Agulha, Lancetadores, Lâminas, Ampolas Quebradas, Vidraria Quebrada):</w:t>
      </w:r>
    </w:p>
    <w:p>
      <w:pPr>
        <w:numPr>
          <w:ilvl w:val="1"/>
          <w:numId w:val="1006"/>
        </w:numPr>
        <w:pStyle w:val="Compact"/>
      </w:pPr>
      <w:r>
        <w:t xml:space="preserve">Descartar IMEDIATAMENTE após o uso no coletor rígido específico para perfurocortantes, localizado o mais próximo possível do ponto de geração.</w:t>
      </w:r>
    </w:p>
    <w:p>
      <w:pPr>
        <w:numPr>
          <w:ilvl w:val="1"/>
          <w:numId w:val="1006"/>
        </w:numPr>
        <w:pStyle w:val="Compact"/>
      </w:pPr>
      <w:r>
        <w:t xml:space="preserve">NÃO reencapar, entortar ou quebrar agulhas.</w:t>
      </w:r>
    </w:p>
    <w:p>
      <w:pPr>
        <w:numPr>
          <w:ilvl w:val="1"/>
          <w:numId w:val="1006"/>
        </w:numPr>
        <w:pStyle w:val="Compact"/>
      </w:pPr>
      <w:r>
        <w:t xml:space="preserve">Descartar a seringa junto com a agulha (se não for possível desconectar com segurança) ou apenas a agulha, conforme o dispositivo.</w:t>
      </w:r>
    </w:p>
    <w:p>
      <w:pPr>
        <w:numPr>
          <w:ilvl w:val="1"/>
          <w:numId w:val="1006"/>
        </w:numPr>
        <w:pStyle w:val="Compact"/>
      </w:pPr>
      <w:r>
        <w:t xml:space="preserve">NÃO ultrapassar o limite de enchimento do coletor (linha pontilhada).</w:t>
      </w:r>
    </w:p>
    <w:p>
      <w:pPr>
        <w:numPr>
          <w:ilvl w:val="1"/>
          <w:numId w:val="1006"/>
        </w:numPr>
        <w:pStyle w:val="Compact"/>
      </w:pPr>
      <w:r>
        <w:t xml:space="preserve">Quando o coletor atingir o limite, fechá-lo, lacrá-lo e encaminhá-lo ao abrigo temporário de resíduos, conforme PGRSS.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Resíduos com Risco Biológico (Grupo A - Ex: Gazes ou Algodão com Sangue/Fluidos Corpóreos em grande quantidade -</w:t>
      </w:r>
      <w:r>
        <w:rPr>
          <w:b/>
        </w:rPr>
        <w:t xml:space="preserve"> </w:t>
      </w:r>
      <w:r>
        <w:rPr>
          <w:i/>
          <w:b/>
        </w:rPr>
        <w:t xml:space="preserve">verificar se aplica à realidade da drogaria</w:t>
      </w:r>
      <w:r>
        <w:rPr>
          <w:b/>
        </w:rPr>
        <w:t xml:space="preserve">):</w:t>
      </w:r>
    </w:p>
    <w:p>
      <w:pPr>
        <w:numPr>
          <w:ilvl w:val="1"/>
          <w:numId w:val="1007"/>
        </w:numPr>
        <w:pStyle w:val="Compact"/>
      </w:pPr>
      <w:r>
        <w:t xml:space="preserve">Descartar em lixeira com saco branco leitoso, identificado com símbolo de risco biológico.</w:t>
      </w:r>
    </w:p>
    <w:p>
      <w:pPr>
        <w:numPr>
          <w:ilvl w:val="1"/>
          <w:numId w:val="1007"/>
        </w:numPr>
        <w:pStyle w:val="Compact"/>
      </w:pPr>
      <w:r>
        <w:t xml:space="preserve">Se a geração for mínima ou inexistente, este fluxo pode não ser necessário, mas deve estar previsto no PGRSS caso ocorra.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Resíduos Químicos (Grupo B - Ex: Frascos de produtos químicos usados em limpeza, embalagens primárias de medicamentos não laváveis -</w:t>
      </w:r>
      <w:r>
        <w:rPr>
          <w:b/>
        </w:rPr>
        <w:t xml:space="preserve"> </w:t>
      </w:r>
      <w:r>
        <w:rPr>
          <w:i/>
          <w:b/>
        </w:rPr>
        <w:t xml:space="preserve">geralmente associado ao descarte de vencidos POP 005</w:t>
      </w:r>
      <w:r>
        <w:rPr>
          <w:b/>
        </w:rPr>
        <w:t xml:space="preserve">, pilhas, lâmpadas):</w:t>
      </w:r>
    </w:p>
    <w:p>
      <w:pPr>
        <w:numPr>
          <w:ilvl w:val="1"/>
          <w:numId w:val="1008"/>
        </w:numPr>
        <w:pStyle w:val="Compact"/>
      </w:pPr>
      <w:r>
        <w:t xml:space="preserve">Descartar nos recipientes rígidos identificados para resíduos químicos, conforme fluxo do PGRSS.</w:t>
      </w:r>
    </w:p>
    <w:p>
      <w:pPr>
        <w:numPr>
          <w:ilvl w:val="0"/>
          <w:numId w:val="1005"/>
        </w:numPr>
        <w:pStyle w:val="Compact"/>
      </w:pPr>
      <w:r>
        <w:rPr>
          <w:b/>
        </w:rPr>
        <w:t xml:space="preserve">Resíduos Comuns (Grupo D - Luvas, Máscaras, Toucas, Algodão/Gaze com pouco ou nenhum fluido, Embalagens Secundárias, Papel Toalha, etc.):</w:t>
      </w:r>
    </w:p>
    <w:p>
      <w:pPr>
        <w:numPr>
          <w:ilvl w:val="1"/>
          <w:numId w:val="1009"/>
        </w:numPr>
        <w:pStyle w:val="Compact"/>
      </w:pPr>
      <w:r>
        <w:t xml:space="preserve">Descartar na lixeira comum (saco preto/azul) com tampa e pedal.</w:t>
      </w:r>
    </w:p>
    <w:p>
      <w:pPr>
        <w:pStyle w:val="FirstParagraph"/>
      </w:pPr>
      <w:r>
        <w:rPr>
          <w:b/>
        </w:rPr>
        <w:t xml:space="preserve">5.3. Gerenciamento dos Recipientes de Descarte</w:t>
      </w:r>
    </w:p>
    <w:p>
      <w:pPr>
        <w:numPr>
          <w:ilvl w:val="0"/>
          <w:numId w:val="1010"/>
        </w:numPr>
        <w:pStyle w:val="Compact"/>
      </w:pPr>
      <w:r>
        <w:t xml:space="preserve">Manter os recipientes de descarte (lixeiras, coletores) limpos externamente.</w:t>
      </w:r>
    </w:p>
    <w:p>
      <w:pPr>
        <w:numPr>
          <w:ilvl w:val="0"/>
          <w:numId w:val="1010"/>
        </w:numPr>
        <w:pStyle w:val="Compact"/>
      </w:pPr>
      <w:r>
        <w:t xml:space="preserve">Posicionar os recipientes em locais estratégicos e de fácil acesso nos pontos de geração.</w:t>
      </w:r>
    </w:p>
    <w:p>
      <w:pPr>
        <w:numPr>
          <w:ilvl w:val="0"/>
          <w:numId w:val="1010"/>
        </w:numPr>
        <w:pStyle w:val="Compact"/>
      </w:pPr>
      <w:r>
        <w:t xml:space="preserve">Monitorar o nível de enchimento dos sacos e coletores.</w:t>
      </w:r>
    </w:p>
    <w:p>
      <w:pPr>
        <w:numPr>
          <w:ilvl w:val="0"/>
          <w:numId w:val="1010"/>
        </w:numPr>
        <w:pStyle w:val="Compact"/>
      </w:pPr>
      <w:r>
        <w:t xml:space="preserve">Fechar adequadamente os sacos de lixo (sem compactar) quando atingirem 2/3 da capacidade.</w:t>
      </w:r>
    </w:p>
    <w:p>
      <w:pPr>
        <w:numPr>
          <w:ilvl w:val="0"/>
          <w:numId w:val="1010"/>
        </w:numPr>
        <w:pStyle w:val="Compact"/>
      </w:pPr>
      <w:r>
        <w:t xml:space="preserve">Fechar e lacrar os coletores de perfurocortantes quando atingirem o limite.</w:t>
      </w:r>
    </w:p>
    <w:p>
      <w:pPr>
        <w:numPr>
          <w:ilvl w:val="0"/>
          <w:numId w:val="1010"/>
        </w:numPr>
        <w:pStyle w:val="Compact"/>
      </w:pPr>
      <w:r>
        <w:t xml:space="preserve">Realizar o transporte interno dos recipientes/sacos fechados até o abrigo temporário de resíduos, conforme PGRSS e POP 001 (quanto à limpeza dos carrinhos, se usados).</w:t>
      </w:r>
    </w:p>
    <w:p>
      <w:pPr>
        <w:pStyle w:val="FirstParagraph"/>
      </w:pPr>
      <w:r>
        <w:rPr>
          <w:b/>
        </w:rPr>
        <w:t xml:space="preserve">6. MONITORAMENTO E VERIFICAÇÃO</w:t>
      </w:r>
    </w:p>
    <w:p>
      <w:pPr>
        <w:numPr>
          <w:ilvl w:val="0"/>
          <w:numId w:val="1011"/>
        </w:numPr>
        <w:pStyle w:val="Compact"/>
      </w:pPr>
      <w:r>
        <w:t xml:space="preserve">Inspeção visual diária dos pontos de geração para verificar a disponibilidade e a correta utilização dos recipientes de descarte.</w:t>
      </w:r>
    </w:p>
    <w:p>
      <w:pPr>
        <w:numPr>
          <w:ilvl w:val="0"/>
          <w:numId w:val="1011"/>
        </w:numPr>
        <w:pStyle w:val="Compact"/>
      </w:pPr>
      <w:r>
        <w:t xml:space="preserve">Verificação periódica do correto acondicionamento e identificação dos resíduos no abrigo temporário.</w:t>
      </w:r>
    </w:p>
    <w:p>
      <w:pPr>
        <w:numPr>
          <w:ilvl w:val="0"/>
          <w:numId w:val="1011"/>
        </w:numPr>
        <w:pStyle w:val="Compact"/>
      </w:pPr>
      <w:r>
        <w:t xml:space="preserve">Observação do cumprimento dos procedimentos de descarte pelos funcionários.</w:t>
      </w:r>
    </w:p>
    <w:p>
      <w:pPr>
        <w:numPr>
          <w:ilvl w:val="0"/>
          <w:numId w:val="1011"/>
        </w:numPr>
        <w:pStyle w:val="Compact"/>
      </w:pPr>
      <w:r>
        <w:t xml:space="preserve">Auditoria dos registros de treinamento sobre manejo de resíduos e uso de EPIs.</w:t>
      </w:r>
    </w:p>
    <w:p>
      <w:pPr>
        <w:pStyle w:val="FirstParagraph"/>
      </w:pPr>
      <w:r>
        <w:rPr>
          <w:b/>
        </w:rPr>
        <w:t xml:space="preserve">7. REGISTROS</w:t>
      </w:r>
    </w:p>
    <w:p>
      <w:pPr>
        <w:numPr>
          <w:ilvl w:val="0"/>
          <w:numId w:val="1012"/>
        </w:numPr>
        <w:pStyle w:val="Compact"/>
      </w:pPr>
      <w:r>
        <w:t xml:space="preserve">Registros de Treinamento sobre este POP e o PGRSS.</w:t>
      </w:r>
    </w:p>
    <w:p>
      <w:pPr>
        <w:numPr>
          <w:ilvl w:val="0"/>
          <w:numId w:val="1012"/>
        </w:numPr>
        <w:pStyle w:val="Compact"/>
      </w:pPr>
      <w:r>
        <w:t xml:space="preserve">Registros de fornecimento de EPIs (se aplicável pela política da empresa).</w:t>
      </w:r>
    </w:p>
    <w:p>
      <w:pPr>
        <w:numPr>
          <w:ilvl w:val="0"/>
          <w:numId w:val="1012"/>
        </w:numPr>
        <w:pStyle w:val="Compact"/>
      </w:pPr>
      <w:r>
        <w:t xml:space="preserve">Registros de coleta e destinação final dos resíduos (MTRs, CDFs - gerenciados pelo PGRSS).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13"/>
        </w:numPr>
        <w:pStyle w:val="Compact"/>
      </w:pPr>
      <w:r>
        <w:t xml:space="preserve">Resolução RDC nº 44, de 17 de agosto de 2009 - ANVISA (Art. 86, VIII).</w:t>
      </w:r>
    </w:p>
    <w:p>
      <w:pPr>
        <w:numPr>
          <w:ilvl w:val="0"/>
          <w:numId w:val="1013"/>
        </w:numPr>
        <w:pStyle w:val="Compact"/>
      </w:pPr>
      <w:r>
        <w:t xml:space="preserve">Resolução RDC nº 222, de 28 de março de 2018 - ANVISA (PGRSS).</w:t>
      </w:r>
    </w:p>
    <w:p>
      <w:pPr>
        <w:numPr>
          <w:ilvl w:val="0"/>
          <w:numId w:val="1013"/>
        </w:numPr>
        <w:pStyle w:val="Compact"/>
      </w:pPr>
      <w:r>
        <w:t xml:space="preserve">Norma Regulamentadora NR-32 - Segurança e Saúde no Trabalho em Serviços de Saúde.</w:t>
      </w:r>
    </w:p>
    <w:p>
      <w:pPr>
        <w:numPr>
          <w:ilvl w:val="0"/>
          <w:numId w:val="1013"/>
        </w:numPr>
        <w:pStyle w:val="Compact"/>
      </w:pPr>
      <w:r>
        <w:t xml:space="preserve">Plano de Gerenciamento de Resíduos de Serviços de Saúde (PGRSS) da Drogaria.</w:t>
      </w:r>
    </w:p>
    <w:p>
      <w:pPr>
        <w:numPr>
          <w:ilvl w:val="0"/>
          <w:numId w:val="1013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13"/>
        </w:numPr>
        <w:pStyle w:val="Compact"/>
      </w:pPr>
      <w:r>
        <w:t xml:space="preserve">POP 001 - Higiene e Limpeza das Instalações.</w:t>
      </w:r>
    </w:p>
    <w:p>
      <w:pPr>
        <w:numPr>
          <w:ilvl w:val="0"/>
          <w:numId w:val="1013"/>
        </w:numPr>
        <w:pStyle w:val="Compact"/>
      </w:pPr>
      <w:r>
        <w:t xml:space="preserve">POP 007 - Prestação de Serviços Farmacêuticos Permitidos.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2025-06-02T13:30:19Z</dcterms:created>
  <dcterms:modified xsi:type="dcterms:W3CDTF">2025-06-02T13:30:19Z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