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007 - Prestação de Serviços Farmacêuticos Permitidos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a prestação dos serviços farmacêuticos permitidos em drogarias (atenção farmacêutica, aferição de parâmetros fisiológicos/bioquímicos, administração de medicamentos, perfuração de lóbulo auricular para colocação de brincos), garantindo a qualidade, segurança, privacidade do usuário, o cumprimento da RDC 44/2009 e das normas éticas e profissionais.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todos os serviços farmacêuticos que a drogaria se propõe a oferecer, conforme autorização e licenciamento. Abrange desde o atendimento inicial até o registro e acompanhamento, quando aplicável.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Garantir a infraestrutura adequada (sala de serviços). Definir os protocolos e POPs específicos para cada serviço. Assegurar a capacitação da equipe. Supervisionar a prestação dos serviços. Garantir o correto registro e sigilo das informações. Adquirir e manter materiais e equipamentos regularizados e calibrados.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Farmacêutico(s):</w:t>
      </w:r>
      <w:r>
        <w:t xml:space="preserve"> </w:t>
      </w:r>
      <w:r>
        <w:t xml:space="preserve">Realizar a prestação dos serviços farmacêuticos conforme os protocolos e POPs. Realizar a atenção farmacêutica. Avaliar prescrições para administração de medicamentos. Orientar os usuários. Preencher a Declaração de Serviço Farmacêutico. Manter o sigilo profissional.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Pessoal Técnico/Auxiliar (quando aplicável e sob supervisão):</w:t>
      </w:r>
      <w:r>
        <w:t xml:space="preserve"> </w:t>
      </w:r>
      <w:r>
        <w:t xml:space="preserve">Auxiliar em procedimentos específicos (ex: organização da sala, preparo de material), SEMPRE sob supervisão direta do farmacêutico e dentro dos limites de suas atribuições legais. NÃO realizar atos privativos do farmacêutico.</w:t>
      </w:r>
    </w:p>
    <w:p>
      <w:pPr>
        <w:pStyle w:val="FirstParagraph"/>
      </w:pPr>
      <w:r>
        <w:rPr>
          <w:b/>
        </w:rPr>
        <w:t xml:space="preserve">4. ESTRUTURA E CONDIÇÕES GERAIS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Sala de Serviços Farmacêuticos:</w:t>
      </w:r>
    </w:p>
    <w:p>
      <w:pPr>
        <w:numPr>
          <w:ilvl w:val="1"/>
          <w:numId w:val="1003"/>
        </w:numPr>
        <w:pStyle w:val="Compact"/>
      </w:pPr>
      <w:r>
        <w:t xml:space="preserve">Deve ser um ambiente específico, diverso da área de dispensação e circulação geral.</w:t>
      </w:r>
    </w:p>
    <w:p>
      <w:pPr>
        <w:numPr>
          <w:ilvl w:val="1"/>
          <w:numId w:val="1003"/>
        </w:numPr>
        <w:pStyle w:val="Compact"/>
      </w:pPr>
      <w:r>
        <w:t xml:space="preserve">Garantir privacidade e conforto ao usuário.</w:t>
      </w:r>
    </w:p>
    <w:p>
      <w:pPr>
        <w:numPr>
          <w:ilvl w:val="1"/>
          <w:numId w:val="1003"/>
        </w:numPr>
        <w:pStyle w:val="Compact"/>
      </w:pPr>
      <w:r>
        <w:t xml:space="preserve">Possuir dimensões, mobiliário (cadeira, mesa, maca se necessário) e infraestrutura compatíveis.</w:t>
      </w:r>
    </w:p>
    <w:p>
      <w:pPr>
        <w:numPr>
          <w:ilvl w:val="1"/>
          <w:numId w:val="1003"/>
        </w:numPr>
        <w:pStyle w:val="Compact"/>
      </w:pPr>
      <w:r>
        <w:t xml:space="preserve">Dispor de lavatório com água corrente, sabonete líquido, toalha de uso individual descartável, álcool gel 70%.</w:t>
      </w:r>
    </w:p>
    <w:p>
      <w:pPr>
        <w:numPr>
          <w:ilvl w:val="1"/>
          <w:numId w:val="1003"/>
        </w:numPr>
        <w:pStyle w:val="Compact"/>
      </w:pPr>
      <w:r>
        <w:t xml:space="preserve">Possuir lixeira com pedal e tampa, com saco de lixo apropriado para resíduos (comum e de saúde, conforme PGRSS).</w:t>
      </w:r>
    </w:p>
    <w:p>
      <w:pPr>
        <w:numPr>
          <w:ilvl w:val="1"/>
          <w:numId w:val="1003"/>
        </w:numPr>
        <w:pStyle w:val="Compact"/>
      </w:pPr>
      <w:r>
        <w:t xml:space="preserve">Acesso ao sanitário (se houver) não deve ser pela sala de serviços.</w:t>
      </w:r>
    </w:p>
    <w:p>
      <w:pPr>
        <w:numPr>
          <w:ilvl w:val="1"/>
          <w:numId w:val="1003"/>
        </w:numPr>
        <w:pStyle w:val="Compact"/>
      </w:pPr>
      <w:r>
        <w:t xml:space="preserve">Manter kit de primeiros socorros identificado e de fácil acesso.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Limpeza e Higiene:</w:t>
      </w:r>
    </w:p>
    <w:p>
      <w:pPr>
        <w:numPr>
          <w:ilvl w:val="1"/>
          <w:numId w:val="1004"/>
        </w:numPr>
        <w:pStyle w:val="Compact"/>
      </w:pPr>
      <w:r>
        <w:t xml:space="preserve">A sala deve ser limpa e organizada diariamente (início e fim do expediente) e entre atendimentos, conforme necessidade e POP 001.</w:t>
      </w:r>
    </w:p>
    <w:p>
      <w:pPr>
        <w:numPr>
          <w:ilvl w:val="1"/>
          <w:numId w:val="1004"/>
        </w:numPr>
        <w:pStyle w:val="Compact"/>
      </w:pPr>
      <w:r>
        <w:t xml:space="preserve">Registrar a limpeza da sala.</w:t>
      </w:r>
    </w:p>
    <w:p>
      <w:pPr>
        <w:numPr>
          <w:ilvl w:val="1"/>
          <w:numId w:val="1004"/>
        </w:numPr>
        <w:pStyle w:val="Compact"/>
      </w:pPr>
      <w:r>
        <w:t xml:space="preserve">O profissional deve higienizar as mãos (lavagem ou álcool gel) antes e após cada atendimento/procedimento.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Materiais e Equipamentos:</w:t>
      </w:r>
    </w:p>
    <w:p>
      <w:pPr>
        <w:numPr>
          <w:ilvl w:val="1"/>
          <w:numId w:val="1005"/>
        </w:numPr>
        <w:pStyle w:val="Compact"/>
      </w:pPr>
      <w:r>
        <w:t xml:space="preserve">Utilizar apenas materiais e equipamentos (aparelho de pressão, termômetro, glicosímetro, lancetador, aparelho de perfuração de lóbulo, etc.) regularizados na ANVISA.</w:t>
      </w:r>
    </w:p>
    <w:p>
      <w:pPr>
        <w:numPr>
          <w:ilvl w:val="1"/>
          <w:numId w:val="1005"/>
        </w:numPr>
        <w:pStyle w:val="Compact"/>
      </w:pPr>
      <w:r>
        <w:t xml:space="preserve">Manter registros de manutenção e calibração periódica dos equipamentos, conforme recomendações do fabricante e normas (ex: INMETRO para esfigmomanômetros).</w:t>
      </w:r>
    </w:p>
    <w:p>
      <w:pPr>
        <w:numPr>
          <w:ilvl w:val="1"/>
          <w:numId w:val="1005"/>
        </w:numPr>
        <w:pStyle w:val="Compact"/>
      </w:pPr>
      <w:r>
        <w:t xml:space="preserve">Utilizar materiais descartáveis (luvas, lancetas, agulhas, seringas, algodão, etc.) e descartá-los corretamente conforme POP 008 e PGRSS.</w:t>
      </w:r>
    </w:p>
    <w:p>
      <w:pPr>
        <w:numPr>
          <w:ilvl w:val="1"/>
          <w:numId w:val="1005"/>
        </w:numPr>
        <w:pStyle w:val="Compact"/>
      </w:pPr>
      <w:r>
        <w:t xml:space="preserve">Brincos para perfuração devem ser regularizados, estéreis e abertos na frente do usuário.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Consentimento e Sigilo:</w:t>
      </w:r>
    </w:p>
    <w:p>
      <w:pPr>
        <w:numPr>
          <w:ilvl w:val="1"/>
          <w:numId w:val="1006"/>
        </w:numPr>
        <w:pStyle w:val="Compact"/>
      </w:pPr>
      <w:r>
        <w:t xml:space="preserve">Obter o consentimento expresso do usuário antes de realizar qualquer serviço que envolva coleta de dados ou procedimentos.</w:t>
      </w:r>
    </w:p>
    <w:p>
      <w:pPr>
        <w:numPr>
          <w:ilvl w:val="1"/>
          <w:numId w:val="1006"/>
        </w:numPr>
        <w:pStyle w:val="Compact"/>
      </w:pPr>
      <w:r>
        <w:t xml:space="preserve">Garantir o sigilo de todas as informações obtidas durante a prestação do serviço.</w:t>
      </w:r>
    </w:p>
    <w:p>
      <w:pPr>
        <w:pStyle w:val="FirstParagraph"/>
      </w:pPr>
      <w:r>
        <w:rPr>
          <w:b/>
        </w:rPr>
        <w:t xml:space="preserve">5. DESCRIÇÃO DOS PROCEDIMENTOS ESPECÍFICOS</w:t>
      </w:r>
    </w:p>
    <w:p>
      <w:pPr>
        <w:pStyle w:val="BodyText"/>
      </w:pPr>
      <w:r>
        <w:rPr>
          <w:b/>
        </w:rPr>
        <w:t xml:space="preserve">(Nota: Detalhar abaixo APENAS os serviços que a drogaria efetivamente oferecerá. Cada serviço pode ter um POP específico mais detalhado, se necessário, referenciado aqui).</w:t>
      </w:r>
    </w:p>
    <w:p>
      <w:pPr>
        <w:pStyle w:val="BodyText"/>
      </w:pPr>
      <w:r>
        <w:rPr>
          <w:b/>
        </w:rPr>
        <w:t xml:space="preserve">5.1. Atenção Farmacêutica (Geral)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Abordagem:</w:t>
      </w:r>
      <w:r>
        <w:t xml:space="preserve"> </w:t>
      </w:r>
      <w:r>
        <w:t xml:space="preserve">Identificar necessidades do paciente (uso de medicamentos, dúvidas, acompanhamento).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Coleta de Dados:</w:t>
      </w:r>
      <w:r>
        <w:t xml:space="preserve"> </w:t>
      </w:r>
      <w:r>
        <w:t xml:space="preserve">Realizar entrevista com o paciente em local privativo (sala de serviços) para obter informações sobre saúde, histórico, medicamentos em uso, estilo de vida.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Análise:</w:t>
      </w:r>
      <w:r>
        <w:t xml:space="preserve"> </w:t>
      </w:r>
      <w:r>
        <w:t xml:space="preserve">Avaliar a farmacoterapia, identificar Problemas Relacionados a Medicamentos (PRMs).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Plano de Cuidado:</w:t>
      </w:r>
      <w:r>
        <w:t xml:space="preserve"> </w:t>
      </w:r>
      <w:r>
        <w:t xml:space="preserve">Elaborar um plano de intervenção em conjunto com o paciente (e prescritor, se necessário) para resolver ou prevenir PRMs, otimizar a terapia e promover o uso racional.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Orientação:</w:t>
      </w:r>
      <w:r>
        <w:t xml:space="preserve"> </w:t>
      </w:r>
      <w:r>
        <w:t xml:space="preserve">Fornecer orientações claras sobre os medicamentos e o plano de cuidado.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Acompanhamento:</w:t>
      </w:r>
      <w:r>
        <w:t xml:space="preserve"> </w:t>
      </w:r>
      <w:r>
        <w:t xml:space="preserve">Agendar retornos para monitorar os resultados e ajustar o plano.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Registro:</w:t>
      </w:r>
      <w:r>
        <w:t xml:space="preserve"> </w:t>
      </w:r>
      <w:r>
        <w:t xml:space="preserve">Documentar todo o processo (dados do paciente, análise, plano, intervenções, resultados) em prontuário ou ficha apropriada, com consentimento do paciente.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Encaminhamento:</w:t>
      </w:r>
      <w:r>
        <w:t xml:space="preserve"> </w:t>
      </w:r>
      <w:r>
        <w:t xml:space="preserve">Encaminhar o paciente a outros profissionais de saúde quando necessário.</w:t>
      </w:r>
    </w:p>
    <w:p>
      <w:pPr>
        <w:pStyle w:val="FirstParagraph"/>
      </w:pPr>
      <w:r>
        <w:rPr>
          <w:b/>
        </w:rPr>
        <w:t xml:space="preserve">5.2. Aferição de Parâmetros Fisiológicos/Bioquímicos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Objetivo:</w:t>
      </w:r>
      <w:r>
        <w:t xml:space="preserve"> </w:t>
      </w:r>
      <w:r>
        <w:t xml:space="preserve">Monitoramento da terapia, NUNCA diagnóstico.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Parâmetros Permitidos:</w:t>
      </w:r>
      <w:r>
        <w:t xml:space="preserve"> </w:t>
      </w:r>
      <w:r>
        <w:t xml:space="preserve">Pressão Arterial (PA), Temperatura Corporal (T), Glicemia Capilar (G).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Procedimento (Exemplo PA):</w:t>
      </w:r>
    </w:p>
    <w:p>
      <w:pPr>
        <w:numPr>
          <w:ilvl w:val="1"/>
          <w:numId w:val="1009"/>
        </w:numPr>
        <w:pStyle w:val="Compact"/>
      </w:pPr>
      <w:r>
        <w:t xml:space="preserve">Explicar o procedimento ao usuário.</w:t>
      </w:r>
    </w:p>
    <w:p>
      <w:pPr>
        <w:numPr>
          <w:ilvl w:val="1"/>
          <w:numId w:val="1009"/>
        </w:numPr>
        <w:pStyle w:val="Compact"/>
      </w:pPr>
      <w:r>
        <w:t xml:space="preserve">Garantir que o usuário esteja em repouso por 5-10 min, sentado confortavelmente, pernas descruzadas, braço apoiado na altura do coração.</w:t>
      </w:r>
    </w:p>
    <w:p>
      <w:pPr>
        <w:numPr>
          <w:ilvl w:val="1"/>
          <w:numId w:val="1009"/>
        </w:numPr>
        <w:pStyle w:val="Compact"/>
      </w:pPr>
      <w:r>
        <w:t xml:space="preserve">Selecionar o manguito de tamanho adequado ao braço.</w:t>
      </w:r>
    </w:p>
    <w:p>
      <w:pPr>
        <w:numPr>
          <w:ilvl w:val="1"/>
          <w:numId w:val="1009"/>
        </w:numPr>
        <w:pStyle w:val="Compact"/>
      </w:pPr>
      <w:r>
        <w:t xml:space="preserve">Realizar a aferição conforme técnica padronizada (auscultatória ou aparelho automático validado).</w:t>
      </w:r>
    </w:p>
    <w:p>
      <w:pPr>
        <w:numPr>
          <w:ilvl w:val="1"/>
          <w:numId w:val="1009"/>
        </w:numPr>
        <w:pStyle w:val="Compact"/>
      </w:pPr>
      <w:r>
        <w:t xml:space="preserve">Registrar os valores obtidos.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Procedimento (Exemplo Glicemia Capilar):</w:t>
      </w:r>
    </w:p>
    <w:p>
      <w:pPr>
        <w:numPr>
          <w:ilvl w:val="1"/>
          <w:numId w:val="1010"/>
        </w:numPr>
        <w:pStyle w:val="Compact"/>
      </w:pPr>
      <w:r>
        <w:t xml:space="preserve">Higienizar as mãos e calçar luvas de procedimento.</w:t>
      </w:r>
    </w:p>
    <w:p>
      <w:pPr>
        <w:numPr>
          <w:ilvl w:val="1"/>
          <w:numId w:val="1010"/>
        </w:numPr>
        <w:pStyle w:val="Compact"/>
      </w:pPr>
      <w:r>
        <w:t xml:space="preserve">Realizar assepsia do dedo do paciente com algodão e álcool 70% (esperar secar).</w:t>
      </w:r>
    </w:p>
    <w:p>
      <w:pPr>
        <w:numPr>
          <w:ilvl w:val="1"/>
          <w:numId w:val="1010"/>
        </w:numPr>
        <w:pStyle w:val="Compact"/>
      </w:pPr>
      <w:r>
        <w:t xml:space="preserve">Utilizar lancetador com lanceta descartável para a punção.</w:t>
      </w:r>
    </w:p>
    <w:p>
      <w:pPr>
        <w:numPr>
          <w:ilvl w:val="1"/>
          <w:numId w:val="1010"/>
        </w:numPr>
        <w:pStyle w:val="Compact"/>
      </w:pPr>
      <w:r>
        <w:t xml:space="preserve">Aferir a glicemia com glicosímetro e fita reagente compatível (verificar validade da fita).</w:t>
      </w:r>
    </w:p>
    <w:p>
      <w:pPr>
        <w:numPr>
          <w:ilvl w:val="1"/>
          <w:numId w:val="1010"/>
        </w:numPr>
        <w:pStyle w:val="Compact"/>
      </w:pPr>
      <w:r>
        <w:t xml:space="preserve">Descartar lanceta e fita em coletor de perfurocortante.</w:t>
      </w:r>
    </w:p>
    <w:p>
      <w:pPr>
        <w:numPr>
          <w:ilvl w:val="1"/>
          <w:numId w:val="1010"/>
        </w:numPr>
        <w:pStyle w:val="Compact"/>
      </w:pPr>
      <w:r>
        <w:t xml:space="preserve">Registrar o valor.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Orientação:</w:t>
      </w:r>
      <w:r>
        <w:t xml:space="preserve"> </w:t>
      </w:r>
      <w:r>
        <w:t xml:space="preserve">Informar o resultado ao usuário, comparar com valores de referência (informando que não é diagnóstico). Orientar a procurar médico se houver alterações significativas ou discrepâncias.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Registro:</w:t>
      </w:r>
      <w:r>
        <w:t xml:space="preserve"> </w:t>
      </w:r>
      <w:r>
        <w:t xml:space="preserve">Preencher a Declaração de Serviço Farmacêutico.</w:t>
      </w:r>
    </w:p>
    <w:p>
      <w:pPr>
        <w:pStyle w:val="FirstParagraph"/>
      </w:pPr>
      <w:r>
        <w:rPr>
          <w:b/>
        </w:rPr>
        <w:t xml:space="preserve">5.3. Administração de Medicamentos Injetáveis (Se oferecido)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Prescrição:</w:t>
      </w:r>
      <w:r>
        <w:t xml:space="preserve"> </w:t>
      </w:r>
      <w:r>
        <w:t xml:space="preserve">Exigir prescrição médica para medicamentos injetáveis que a exijam. Avaliar a prescrição (conforme POP 004).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Verificação:</w:t>
      </w:r>
      <w:r>
        <w:t xml:space="preserve"> </w:t>
      </w:r>
      <w:r>
        <w:t xml:space="preserve">Conferir medicamento, dose, via de administração, validade.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Preparo:</w:t>
      </w:r>
      <w:r>
        <w:t xml:space="preserve"> </w:t>
      </w:r>
      <w:r>
        <w:t xml:space="preserve">Preparar a injeção em local limpo, com técnica asséptica.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Administração:</w:t>
      </w:r>
    </w:p>
    <w:p>
      <w:pPr>
        <w:numPr>
          <w:ilvl w:val="1"/>
          <w:numId w:val="1012"/>
        </w:numPr>
        <w:pStyle w:val="Compact"/>
      </w:pPr>
      <w:r>
        <w:t xml:space="preserve">Higienizar as mãos e calçar luvas.</w:t>
      </w:r>
    </w:p>
    <w:p>
      <w:pPr>
        <w:numPr>
          <w:ilvl w:val="1"/>
          <w:numId w:val="1012"/>
        </w:numPr>
        <w:pStyle w:val="Compact"/>
      </w:pPr>
      <w:r>
        <w:t xml:space="preserve">Realizar a antissepsia do local de aplicação no paciente.</w:t>
      </w:r>
    </w:p>
    <w:p>
      <w:pPr>
        <w:numPr>
          <w:ilvl w:val="1"/>
          <w:numId w:val="1012"/>
        </w:numPr>
        <w:pStyle w:val="Compact"/>
      </w:pPr>
      <w:r>
        <w:t xml:space="preserve">Administrar o medicamento conforme técnica correta para a via prescrita (IM, SC).</w:t>
      </w:r>
    </w:p>
    <w:p>
      <w:pPr>
        <w:numPr>
          <w:ilvl w:val="1"/>
          <w:numId w:val="1012"/>
        </w:numPr>
        <w:pStyle w:val="Compact"/>
      </w:pPr>
      <w:r>
        <w:t xml:space="preserve">NÃO administrar medicamentos de uso exclusivo hospitalar.</w:t>
      </w:r>
    </w:p>
    <w:p>
      <w:pPr>
        <w:numPr>
          <w:ilvl w:val="1"/>
          <w:numId w:val="1012"/>
        </w:numPr>
        <w:pStyle w:val="Compact"/>
      </w:pPr>
      <w:r>
        <w:t xml:space="preserve">NÃO reencapar agulhas.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Descarte:</w:t>
      </w:r>
      <w:r>
        <w:t xml:space="preserve"> </w:t>
      </w:r>
      <w:r>
        <w:t xml:space="preserve">Descartar agulha e seringa imediatamente no coletor de perfurocortantes.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Orientação:</w:t>
      </w:r>
      <w:r>
        <w:t xml:space="preserve"> </w:t>
      </w:r>
      <w:r>
        <w:t xml:space="preserve">Orientar o paciente sobre possíveis reações locais ou gerais.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Registro:</w:t>
      </w:r>
      <w:r>
        <w:t xml:space="preserve"> </w:t>
      </w:r>
      <w:r>
        <w:t xml:space="preserve">Preencher a Declaração de Serviço Farmacêutico.</w:t>
      </w:r>
    </w:p>
    <w:p>
      <w:pPr>
        <w:pStyle w:val="FirstParagraph"/>
      </w:pPr>
      <w:r>
        <w:rPr>
          <w:b/>
        </w:rPr>
        <w:t xml:space="preserve">5.4. Perfuração de Lóbulo Auricular para Colocação de Brincos (Se oferecido)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Material:</w:t>
      </w:r>
      <w:r>
        <w:t xml:space="preserve"> </w:t>
      </w:r>
      <w:r>
        <w:t xml:space="preserve">Utilizar aparelho específico (pistola) que usa o próprio brinco estéril como material perfurante. Brinco e pistola devem ser regularizados na ANVISA.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Procedimento:</w:t>
      </w:r>
    </w:p>
    <w:p>
      <w:pPr>
        <w:numPr>
          <w:ilvl w:val="1"/>
          <w:numId w:val="1014"/>
        </w:numPr>
        <w:pStyle w:val="Compact"/>
      </w:pPr>
      <w:r>
        <w:t xml:space="preserve">Higienizar as mãos e calçar luvas.</w:t>
      </w:r>
    </w:p>
    <w:p>
      <w:pPr>
        <w:numPr>
          <w:ilvl w:val="1"/>
          <w:numId w:val="1014"/>
        </w:numPr>
        <w:pStyle w:val="Compact"/>
      </w:pPr>
      <w:r>
        <w:t xml:space="preserve">Realizar antissepsia do lóbulo auricular do usuário.</w:t>
      </w:r>
    </w:p>
    <w:p>
      <w:pPr>
        <w:numPr>
          <w:ilvl w:val="1"/>
          <w:numId w:val="1014"/>
        </w:numPr>
        <w:pStyle w:val="Compact"/>
      </w:pPr>
      <w:r>
        <w:t xml:space="preserve">Abrir a embalagem do brinco estéril na frente do usuário.</w:t>
      </w:r>
    </w:p>
    <w:p>
      <w:pPr>
        <w:numPr>
          <w:ilvl w:val="1"/>
          <w:numId w:val="1014"/>
        </w:numPr>
        <w:pStyle w:val="Compact"/>
      </w:pPr>
      <w:r>
        <w:t xml:space="preserve">Realizar a perfuração com a pistola conforme instruções do fabricante.</w:t>
      </w:r>
    </w:p>
    <w:p>
      <w:pPr>
        <w:numPr>
          <w:ilvl w:val="1"/>
          <w:numId w:val="1014"/>
        </w:numPr>
        <w:pStyle w:val="Compact"/>
      </w:pPr>
      <w:r>
        <w:t xml:space="preserve">Realizar assepsia da pistola entre usos (se reutilizável) ou usar ponteiras descartáveis.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Orientação:</w:t>
      </w:r>
      <w:r>
        <w:t xml:space="preserve"> </w:t>
      </w:r>
      <w:r>
        <w:t xml:space="preserve">Orientar o usuário sobre os cuidados pós-perfuração para evitar infecção.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Registro:</w:t>
      </w:r>
      <w:r>
        <w:t xml:space="preserve"> </w:t>
      </w:r>
      <w:r>
        <w:t xml:space="preserve">Preencher a Declaração de Serviço Farmacêutico.</w:t>
      </w:r>
    </w:p>
    <w:p>
      <w:pPr>
        <w:pStyle w:val="FirstParagraph"/>
      </w:pPr>
      <w:r>
        <w:rPr>
          <w:b/>
        </w:rPr>
        <w:t xml:space="preserve">6. DECLARAÇÃO DE SERVIÇO FARMACÊUTICO</w:t>
      </w:r>
    </w:p>
    <w:p>
      <w:pPr>
        <w:numPr>
          <w:ilvl w:val="0"/>
          <w:numId w:val="1015"/>
        </w:numPr>
        <w:pStyle w:val="Compact"/>
      </w:pPr>
      <w:r>
        <w:t xml:space="preserve">Após a prestação de qualquer serviço farmacêutico, entregar ao usuário a Declaração de Serviço Farmacêutico.</w:t>
      </w:r>
    </w:p>
    <w:p>
      <w:pPr>
        <w:numPr>
          <w:ilvl w:val="0"/>
          <w:numId w:val="1015"/>
        </w:numPr>
        <w:pStyle w:val="Compact"/>
      </w:pPr>
      <w:r>
        <w:t xml:space="preserve">A Declaração deve ser em papel timbrado da drogaria (com CNPJ, endereço, etc.), identificar o usuário, descrever o serviço prestado (com detalhes conforme RDC 44 Art. 81, §2º - incluindo valores, medicamentos, lotes, dados do profissional, etc.), conter a frase de alerta para parâmetros (</w:t>
      </w:r>
      <w:r>
        <w:t xml:space="preserve">“</w:t>
      </w:r>
      <w:r>
        <w:t xml:space="preserve">NÃO TEM FINALIDADE DE DIAGNÓSTICO…</w:t>
      </w:r>
      <w:r>
        <w:t xml:space="preserve">”</w:t>
      </w:r>
      <w:r>
        <w:t xml:space="preserve">) e ser assinada e carimbada pelo farmacêutico.</w:t>
      </w:r>
    </w:p>
    <w:p>
      <w:pPr>
        <w:numPr>
          <w:ilvl w:val="0"/>
          <w:numId w:val="1015"/>
        </w:numPr>
        <w:pStyle w:val="Compact"/>
      </w:pPr>
      <w:r>
        <w:t xml:space="preserve">Emitir em duas vias (uma para o usuário, uma arquivada na drogaria por 5 anos).</w:t>
      </w:r>
    </w:p>
    <w:p>
      <w:pPr>
        <w:numPr>
          <w:ilvl w:val="0"/>
          <w:numId w:val="1015"/>
        </w:numPr>
        <w:pStyle w:val="Compact"/>
      </w:pPr>
      <w:r>
        <w:t xml:space="preserve">É VEDADO usar a declaração para propaganda ou indicar medicamentos sob prescrição.</w:t>
      </w:r>
    </w:p>
    <w:p>
      <w:pPr>
        <w:pStyle w:val="FirstParagraph"/>
      </w:pPr>
      <w:r>
        <w:rPr>
          <w:b/>
        </w:rPr>
        <w:t xml:space="preserve">7. MONITORAMENTO E VERIFICAÇÃO</w:t>
      </w:r>
    </w:p>
    <w:p>
      <w:pPr>
        <w:numPr>
          <w:ilvl w:val="0"/>
          <w:numId w:val="1016"/>
        </w:numPr>
        <w:pStyle w:val="Compact"/>
      </w:pPr>
      <w:r>
        <w:t xml:space="preserve">Verificação da limpeza e organização da sala de serviços.</w:t>
      </w:r>
    </w:p>
    <w:p>
      <w:pPr>
        <w:numPr>
          <w:ilvl w:val="0"/>
          <w:numId w:val="1016"/>
        </w:numPr>
        <w:pStyle w:val="Compact"/>
      </w:pPr>
      <w:r>
        <w:t xml:space="preserve">Auditoria dos registros de calibração/manutenção dos equipamentos.</w:t>
      </w:r>
    </w:p>
    <w:p>
      <w:pPr>
        <w:numPr>
          <w:ilvl w:val="0"/>
          <w:numId w:val="1016"/>
        </w:numPr>
        <w:pStyle w:val="Compact"/>
      </w:pPr>
      <w:r>
        <w:t xml:space="preserve">Verificação da validade dos materiais (fitas de glicemia, etc.).</w:t>
      </w:r>
    </w:p>
    <w:p>
      <w:pPr>
        <w:numPr>
          <w:ilvl w:val="0"/>
          <w:numId w:val="1016"/>
        </w:numPr>
        <w:pStyle w:val="Compact"/>
      </w:pPr>
      <w:r>
        <w:t xml:space="preserve">Auditoria das Declarações de Serviço Farmacêutico emitidas.</w:t>
      </w:r>
    </w:p>
    <w:p>
      <w:pPr>
        <w:numPr>
          <w:ilvl w:val="0"/>
          <w:numId w:val="1016"/>
        </w:numPr>
        <w:pStyle w:val="Compact"/>
      </w:pPr>
      <w:r>
        <w:t xml:space="preserve">Avaliação da capacitação da equipe.</w:t>
      </w:r>
    </w:p>
    <w:p>
      <w:pPr>
        <w:numPr>
          <w:ilvl w:val="0"/>
          <w:numId w:val="1016"/>
        </w:numPr>
        <w:pStyle w:val="Compact"/>
      </w:pPr>
      <w:r>
        <w:t xml:space="preserve">Acompanhamento de indicadores de qualidade dos serviços (se definidos).</w:t>
      </w:r>
    </w:p>
    <w:p>
      <w:pPr>
        <w:pStyle w:val="FirstParagraph"/>
      </w:pPr>
      <w:r>
        <w:rPr>
          <w:b/>
        </w:rPr>
        <w:t xml:space="preserve">8. REGISTROS</w:t>
      </w:r>
    </w:p>
    <w:p>
      <w:pPr>
        <w:numPr>
          <w:ilvl w:val="0"/>
          <w:numId w:val="1017"/>
        </w:numPr>
        <w:pStyle w:val="Compact"/>
      </w:pPr>
      <w:r>
        <w:t xml:space="preserve">Registros de limpeza da sala de serviços.</w:t>
      </w:r>
    </w:p>
    <w:p>
      <w:pPr>
        <w:numPr>
          <w:ilvl w:val="0"/>
          <w:numId w:val="1017"/>
        </w:numPr>
        <w:pStyle w:val="Compact"/>
      </w:pPr>
      <w:r>
        <w:t xml:space="preserve">Registros de manutenção e calibração dos equipamentos.</w:t>
      </w:r>
    </w:p>
    <w:p>
      <w:pPr>
        <w:numPr>
          <w:ilvl w:val="0"/>
          <w:numId w:val="1017"/>
        </w:numPr>
        <w:pStyle w:val="Compact"/>
      </w:pPr>
      <w:r>
        <w:t xml:space="preserve">Declarações de Serviço Farmacêutico (arquivadas por 5 anos).</w:t>
      </w:r>
    </w:p>
    <w:p>
      <w:pPr>
        <w:numPr>
          <w:ilvl w:val="0"/>
          <w:numId w:val="1017"/>
        </w:numPr>
        <w:pStyle w:val="Compact"/>
      </w:pPr>
      <w:r>
        <w:t xml:space="preserve">Prontuários/Fichas de Acompanhamento Farmacoterapêutico (se aplicável, com consentimento).</w:t>
      </w:r>
    </w:p>
    <w:p>
      <w:pPr>
        <w:numPr>
          <w:ilvl w:val="0"/>
          <w:numId w:val="1017"/>
        </w:numPr>
        <w:pStyle w:val="Compact"/>
      </w:pPr>
      <w:r>
        <w:t xml:space="preserve">Protocolos específicos para cada serviço oferecido.</w:t>
      </w:r>
    </w:p>
    <w:p>
      <w:pPr>
        <w:pStyle w:val="FirstParagraph"/>
      </w:pPr>
      <w:r>
        <w:rPr>
          <w:b/>
        </w:rPr>
        <w:t xml:space="preserve">9. REFERÊNCIAS</w:t>
      </w:r>
    </w:p>
    <w:p>
      <w:pPr>
        <w:numPr>
          <w:ilvl w:val="0"/>
          <w:numId w:val="1018"/>
        </w:numPr>
        <w:pStyle w:val="Compact"/>
      </w:pPr>
      <w:r>
        <w:t xml:space="preserve">Resolução RDC nº 44, de 17 de agosto de 2009 - ANVISA (Capítulos V, VI, VII).</w:t>
      </w:r>
    </w:p>
    <w:p>
      <w:pPr>
        <w:numPr>
          <w:ilvl w:val="0"/>
          <w:numId w:val="1018"/>
        </w:numPr>
        <w:pStyle w:val="Compact"/>
      </w:pPr>
      <w:r>
        <w:t xml:space="preserve">Resolução RDC nº 222, de 28 de março de 2018 - PGRSS (para descarte de resíduos gerados).</w:t>
      </w:r>
    </w:p>
    <w:p>
      <w:pPr>
        <w:numPr>
          <w:ilvl w:val="0"/>
          <w:numId w:val="1018"/>
        </w:numPr>
        <w:pStyle w:val="Compact"/>
      </w:pPr>
      <w:r>
        <w:t xml:space="preserve">Normas Técnicas sobre aferição de PA, Glicemia, administração de injetáveis.</w:t>
      </w:r>
    </w:p>
    <w:p>
      <w:pPr>
        <w:numPr>
          <w:ilvl w:val="0"/>
          <w:numId w:val="1018"/>
        </w:numPr>
        <w:pStyle w:val="Compact"/>
      </w:pPr>
      <w:r>
        <w:t xml:space="preserve">Código de Ética Farmacêutica.</w:t>
      </w:r>
    </w:p>
    <w:p>
      <w:pPr>
        <w:numPr>
          <w:ilvl w:val="0"/>
          <w:numId w:val="1018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18"/>
        </w:numPr>
        <w:pStyle w:val="Compact"/>
      </w:pPr>
      <w:r>
        <w:t xml:space="preserve">Normas do INMETRO para calibração de esfigmomanômetros.</w:t>
      </w:r>
    </w:p>
    <w:p>
      <w:pPr>
        <w:pStyle w:val="FirstParagraph"/>
      </w:pPr>
      <w:r>
        <w:rPr>
          <w:b/>
        </w:rPr>
        <w:t xml:space="preserve">10.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2025-06-02T13:30:19Z</dcterms:created>
  <dcterms:modified xsi:type="dcterms:W3CDTF">2025-06-02T13:30:19Z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