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procedimento-operacional-padrão-pop"/>
      <w:r>
        <w:t xml:space="preserve">Procedimento Operacional Padrão (POP)</w:t>
      </w:r>
      <w:bookmarkEnd w:id="20"/>
    </w:p>
    <w:p>
      <w:pPr>
        <w:pStyle w:val="FirstParagraph"/>
      </w:pPr>
      <w:r>
        <w:rPr>
          <w:b/>
        </w:rPr>
        <w:t xml:space="preserve">Título:</w:t>
      </w:r>
      <w:r>
        <w:t xml:space="preserve"> </w:t>
      </w:r>
      <w:r>
        <w:t xml:space="preserve">POP 006 - Destinação dos Produtos Próximos ao Vencimento</w:t>
      </w:r>
    </w:p>
    <w:p>
      <w:pPr>
        <w:pStyle w:val="BodyText"/>
      </w:pPr>
      <w:r>
        <w:rPr>
          <w:b/>
        </w:rPr>
        <w:t xml:space="preserve">Versão:</w:t>
      </w:r>
      <w:r>
        <w:t xml:space="preserve"> </w:t>
      </w:r>
      <w:r>
        <w:t xml:space="preserve">01</w:t>
      </w:r>
    </w:p>
    <w:p>
      <w:pPr>
        <w:pStyle w:val="BodyText"/>
      </w:pPr>
      <w:r>
        <w:rPr>
          <w:b/>
        </w:rPr>
        <w:t xml:space="preserve">Data de Emissão: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Próxima Revisão: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Elaborado por:</w:t>
      </w:r>
      <w:r>
        <w:t xml:space="preserve"> </w:t>
      </w:r>
      <w:r>
        <w:t xml:space="preserve">[Nome do Farmacêutico Responsável]</w:t>
      </w:r>
    </w:p>
    <w:p>
      <w:pPr>
        <w:pStyle w:val="BodyText"/>
      </w:pPr>
      <w:r>
        <w:rPr>
          <w:b/>
        </w:rPr>
        <w:t xml:space="preserve">Aprovado por:</w:t>
      </w:r>
      <w:r>
        <w:t xml:space="preserve"> </w:t>
      </w:r>
      <w:r>
        <w:t xml:space="preserve">[Nome do Farmacêutico Responsável Técnico]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1. OBJETIVO</w:t>
      </w:r>
    </w:p>
    <w:p>
      <w:pPr>
        <w:pStyle w:val="BodyText"/>
      </w:pPr>
      <w:r>
        <w:t xml:space="preserve">Padronizar os procedimentos para identificação, segregação e definição de ações para medicamentos e outros produtos comercializados na drogaria que se encontram próximos ao prazo de validade, visando otimizar o estoque, evitar perdas por vencimento e garantir que apenas produtos dentro da validade sejam dispensados ou comercializados, em conformidade com a RDC 44/2009.</w:t>
      </w:r>
    </w:p>
    <w:p>
      <w:pPr>
        <w:pStyle w:val="BodyText"/>
      </w:pPr>
      <w:r>
        <w:rPr>
          <w:b/>
        </w:rPr>
        <w:t xml:space="preserve">2. APLICAÇÃO</w:t>
      </w:r>
    </w:p>
    <w:p>
      <w:pPr>
        <w:pStyle w:val="BodyText"/>
      </w:pPr>
      <w:r>
        <w:t xml:space="preserve">Este procedimento aplica-se a todos os produtos (medicamentos, correlatos, cosméticos, etc.) identificados no estoque ou na área de vendas da drogaria cujo prazo de validade esteja próximo, conforme critério definido pela drogaria.</w:t>
      </w:r>
    </w:p>
    <w:p>
      <w:pPr>
        <w:pStyle w:val="BodyText"/>
      </w:pPr>
      <w:r>
        <w:rPr>
          <w:b/>
        </w:rPr>
        <w:t xml:space="preserve">3. RESPONSABILIDADES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Farmacêutico Responsável Técnico:</w:t>
      </w:r>
      <w:r>
        <w:t xml:space="preserve"> </w:t>
      </w:r>
      <w:r>
        <w:t xml:space="preserve">Definir o critério de</w:t>
      </w:r>
      <w:r>
        <w:t xml:space="preserve"> </w:t>
      </w:r>
      <w:r>
        <w:t xml:space="preserve">“</w:t>
      </w:r>
      <w:r>
        <w:t xml:space="preserve">proximidade do vencimento</w:t>
      </w:r>
      <w:r>
        <w:t xml:space="preserve">”</w:t>
      </w:r>
      <w:r>
        <w:t xml:space="preserve"> </w:t>
      </w:r>
      <w:r>
        <w:t xml:space="preserve">(ex: 3 meses, 6 meses antes da data de expiração). Supervisionar a identificação e as ações tomadas para produtos próximos ao vencimento. Garantir que nenhuma ação comprometa a qualidade ou segurança do produto ou induza ao uso irracional. Treinar a equipe.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Funcionários Responsáveis pelo Controle de Validade/Estoque:</w:t>
      </w:r>
      <w:r>
        <w:t xml:space="preserve"> </w:t>
      </w:r>
      <w:r>
        <w:t xml:space="preserve">Realizar a verificação periódica da validade. Identificar e separar os produtos próximos ao vencimento. Implementar as ações definidas (organização diferenciada, comunicação, etc.). Registrar as ações.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Equipe de Vendas/Dispensação:</w:t>
      </w:r>
      <w:r>
        <w:t xml:space="preserve"> </w:t>
      </w:r>
      <w:r>
        <w:t xml:space="preserve">Estar ciente dos produtos próximos ao vencimento e das estratégias definidas. Priorizar a dispensação/venda desses produtos (aplicando PVPS/FEFO rigorosamente). NÃO dispensar/vender produtos após a data de vencimento.</w:t>
      </w:r>
    </w:p>
    <w:p>
      <w:pPr>
        <w:pStyle w:val="FirstParagraph"/>
      </w:pPr>
      <w:r>
        <w:rPr>
          <w:b/>
        </w:rPr>
        <w:t xml:space="preserve">4. MATERIAIS E EQUIPAMENTOS</w:t>
      </w:r>
    </w:p>
    <w:p>
      <w:pPr>
        <w:numPr>
          <w:ilvl w:val="0"/>
          <w:numId w:val="1002"/>
        </w:numPr>
        <w:pStyle w:val="Compact"/>
      </w:pPr>
      <w:r>
        <w:t xml:space="preserve">Sistema informatizado de gestão de estoque com controle de validade (altamente recomendável) ou planilhas de controle manual.</w:t>
      </w:r>
    </w:p>
    <w:p>
      <w:pPr>
        <w:numPr>
          <w:ilvl w:val="0"/>
          <w:numId w:val="1002"/>
        </w:numPr>
        <w:pStyle w:val="Compact"/>
      </w:pPr>
      <w:r>
        <w:t xml:space="preserve">Etiquetas de identificação/sinalização (ex:</w:t>
      </w:r>
      <w:r>
        <w:t xml:space="preserve"> </w:t>
      </w:r>
      <w:r>
        <w:t xml:space="preserve">“</w:t>
      </w:r>
      <w:r>
        <w:t xml:space="preserve">VENCIMENTO PRÓXIMO</w:t>
      </w:r>
      <w:r>
        <w:t xml:space="preserve">”</w:t>
      </w:r>
      <w:r>
        <w:t xml:space="preserve">, ou código de cores).</w:t>
      </w:r>
    </w:p>
    <w:p>
      <w:pPr>
        <w:numPr>
          <w:ilvl w:val="0"/>
          <w:numId w:val="1002"/>
        </w:numPr>
        <w:pStyle w:val="Compact"/>
      </w:pPr>
      <w:r>
        <w:t xml:space="preserve">Área específica no estoque ou marcação nas prateleiras para produtos próximos ao vencimento (opcional, mas recomendado).</w:t>
      </w:r>
    </w:p>
    <w:p>
      <w:pPr>
        <w:numPr>
          <w:ilvl w:val="0"/>
          <w:numId w:val="1002"/>
        </w:numPr>
        <w:pStyle w:val="Compact"/>
      </w:pPr>
      <w:r>
        <w:t xml:space="preserve">Material de escritório (canetas, formulários).</w:t>
      </w:r>
    </w:p>
    <w:p>
      <w:pPr>
        <w:pStyle w:val="FirstParagraph"/>
      </w:pPr>
      <w:r>
        <w:rPr>
          <w:b/>
        </w:rPr>
        <w:t xml:space="preserve">5. DESCRIÇÃO DO PROCEDIMENTO</w:t>
      </w:r>
    </w:p>
    <w:p>
      <w:pPr>
        <w:pStyle w:val="BodyText"/>
      </w:pPr>
      <w:r>
        <w:rPr>
          <w:b/>
        </w:rPr>
        <w:t xml:space="preserve">5.1. Definição do Critério de Proximidade do Vencimento</w:t>
      </w:r>
    </w:p>
    <w:p>
      <w:pPr>
        <w:numPr>
          <w:ilvl w:val="0"/>
          <w:numId w:val="1003"/>
        </w:numPr>
        <w:pStyle w:val="Compact"/>
      </w:pPr>
      <w:r>
        <w:t xml:space="preserve">O Farmacêutico Responsável Técnico, em conjunto com a gestão da drogaria, deve definir o prazo considerado como</w:t>
      </w:r>
      <w:r>
        <w:t xml:space="preserve"> </w:t>
      </w:r>
      <w:r>
        <w:t xml:space="preserve">“</w:t>
      </w:r>
      <w:r>
        <w:t xml:space="preserve">próximo ao vencimento</w:t>
      </w:r>
      <w:r>
        <w:t xml:space="preserve">”</w:t>
      </w:r>
      <w:r>
        <w:t xml:space="preserve">. Este prazo pode variar conforme o tipo de produto e o giro de estoque, mas um período comum é de 3 a 6 meses antes da data de expiração.</w:t>
      </w:r>
    </w:p>
    <w:p>
      <w:pPr>
        <w:numPr>
          <w:ilvl w:val="0"/>
          <w:numId w:val="1003"/>
        </w:numPr>
        <w:pStyle w:val="Compact"/>
      </w:pPr>
      <w:r>
        <w:t xml:space="preserve">Exemplo: Definir que produtos com validade inferior a 6 meses são considerados</w:t>
      </w:r>
      <w:r>
        <w:t xml:space="preserve"> </w:t>
      </w:r>
      <w:r>
        <w:t xml:space="preserve">“</w:t>
      </w:r>
      <w:r>
        <w:t xml:space="preserve">próximos ao vencimento</w:t>
      </w:r>
      <w:r>
        <w:t xml:space="preserve">”</w:t>
      </w:r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Documentar este critério no Manual de Boas Práticas Farmacêuticas.</w:t>
      </w:r>
    </w:p>
    <w:p>
      <w:pPr>
        <w:pStyle w:val="FirstParagraph"/>
      </w:pPr>
      <w:r>
        <w:rPr>
          <w:b/>
        </w:rPr>
        <w:t xml:space="preserve">5.2. Identificação</w:t>
      </w:r>
    </w:p>
    <w:p>
      <w:pPr>
        <w:numPr>
          <w:ilvl w:val="0"/>
          <w:numId w:val="1004"/>
        </w:numPr>
        <w:pStyle w:val="Compact"/>
      </w:pPr>
      <w:r>
        <w:t xml:space="preserve">Durante a verificação periódica de validade no estoque e na área de exposição (conforme POP 002 e POP 003), identificar todos os produtos que se enquadram no critério de</w:t>
      </w:r>
      <w:r>
        <w:t xml:space="preserve"> </w:t>
      </w:r>
      <w:r>
        <w:t xml:space="preserve">“</w:t>
      </w:r>
      <w:r>
        <w:t xml:space="preserve">próximo ao vencimento</w:t>
      </w:r>
      <w:r>
        <w:t xml:space="preserve">”</w:t>
      </w:r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Utilizar relatórios do sistema informatizado (se disponível) que listem os produtos por ordem de validade.</w:t>
      </w:r>
    </w:p>
    <w:p>
      <w:pPr>
        <w:numPr>
          <w:ilvl w:val="0"/>
          <w:numId w:val="1004"/>
        </w:numPr>
        <w:pStyle w:val="Compact"/>
      </w:pPr>
      <w:r>
        <w:t xml:space="preserve">Conferir fisicamente os produtos identificados.</w:t>
      </w:r>
    </w:p>
    <w:p>
      <w:pPr>
        <w:pStyle w:val="FirstParagraph"/>
      </w:pPr>
      <w:r>
        <w:rPr>
          <w:b/>
        </w:rPr>
        <w:t xml:space="preserve">5.3. Segregação e Sinalização</w:t>
      </w:r>
    </w:p>
    <w:p>
      <w:pPr>
        <w:numPr>
          <w:ilvl w:val="0"/>
          <w:numId w:val="1005"/>
        </w:numPr>
        <w:pStyle w:val="Compact"/>
      </w:pPr>
      <w:r>
        <w:rPr>
          <w:b/>
        </w:rPr>
        <w:t xml:space="preserve">No Estoque:</w:t>
      </w:r>
    </w:p>
    <w:p>
      <w:pPr>
        <w:numPr>
          <w:ilvl w:val="1"/>
          <w:numId w:val="1006"/>
        </w:numPr>
        <w:pStyle w:val="Compact"/>
      </w:pPr>
      <w:r>
        <w:t xml:space="preserve">Opção 1: Manter os produtos nas prateleiras normais, mas aplicar uma etiqueta ou sinalização visual clara (ex: etiqueta</w:t>
      </w:r>
      <w:r>
        <w:t xml:space="preserve"> </w:t>
      </w:r>
      <w:r>
        <w:t xml:space="preserve">“</w:t>
      </w:r>
      <w:r>
        <w:t xml:space="preserve">VENCIMENTO PRÓXIMO</w:t>
      </w:r>
      <w:r>
        <w:t xml:space="preserve">”</w:t>
      </w:r>
      <w:r>
        <w:t xml:space="preserve"> </w:t>
      </w:r>
      <w:r>
        <w:t xml:space="preserve">ou um ponto colorido) na embalagem ou na prateleira.</w:t>
      </w:r>
    </w:p>
    <w:p>
      <w:pPr>
        <w:numPr>
          <w:ilvl w:val="1"/>
          <w:numId w:val="1006"/>
        </w:numPr>
        <w:pStyle w:val="Compact"/>
      </w:pPr>
      <w:r>
        <w:t xml:space="preserve">Opção 2: Segregar fisicamente os produtos próximos ao vencimento em uma área ou prateleira específica no estoque, devidamente identificada.</w:t>
      </w:r>
    </w:p>
    <w:p>
      <w:pPr>
        <w:numPr>
          <w:ilvl w:val="1"/>
          <w:numId w:val="1006"/>
        </w:numPr>
        <w:pStyle w:val="Compact"/>
      </w:pPr>
      <w:r>
        <w:t xml:space="preserve">Garantir que o sistema PVPS/FEFO seja rigorosamente aplicado, posicionando estes produtos para serem os primeiros a sair.</w:t>
      </w:r>
    </w:p>
    <w:p>
      <w:pPr>
        <w:numPr>
          <w:ilvl w:val="0"/>
          <w:numId w:val="1005"/>
        </w:numPr>
        <w:pStyle w:val="Compact"/>
      </w:pPr>
      <w:r>
        <w:rPr>
          <w:b/>
        </w:rPr>
        <w:t xml:space="preserve">Na Área de Exposição:</w:t>
      </w:r>
    </w:p>
    <w:p>
      <w:pPr>
        <w:numPr>
          <w:ilvl w:val="1"/>
          <w:numId w:val="1007"/>
        </w:numPr>
        <w:pStyle w:val="Compact"/>
      </w:pPr>
      <w:r>
        <w:t xml:space="preserve">Manter a organização conforme POP 003, aplicando rigorosamente o PVPS/FEFO para que os produtos com validade mais curta estejam à frente.</w:t>
      </w:r>
    </w:p>
    <w:p>
      <w:pPr>
        <w:numPr>
          <w:ilvl w:val="1"/>
          <w:numId w:val="1007"/>
        </w:numPr>
        <w:pStyle w:val="Compact"/>
      </w:pPr>
      <w:r>
        <w:t xml:space="preserve">Evitar expor quantidades excessivas de produtos próximos ao vencimento.</w:t>
      </w:r>
    </w:p>
    <w:p>
      <w:pPr>
        <w:numPr>
          <w:ilvl w:val="1"/>
          <w:numId w:val="1007"/>
        </w:numPr>
        <w:pStyle w:val="Compact"/>
      </w:pPr>
      <w:r>
        <w:t xml:space="preserve">É VEDADO realizar promoções do tipo</w:t>
      </w:r>
      <w:r>
        <w:t xml:space="preserve"> </w:t>
      </w:r>
      <w:r>
        <w:t xml:space="preserve">“</w:t>
      </w:r>
      <w:r>
        <w:t xml:space="preserve">Leve 2 Pague 1</w:t>
      </w:r>
      <w:r>
        <w:t xml:space="preserve">”</w:t>
      </w:r>
      <w:r>
        <w:t xml:space="preserve"> </w:t>
      </w:r>
      <w:r>
        <w:t xml:space="preserve">ou similares para medicamentos, mesmo os MIPs, pois pode induzir ao uso irracional. Para outros produtos (cosméticos, higiene), verificar a legislação sobre promoções.</w:t>
      </w:r>
    </w:p>
    <w:p>
      <w:pPr>
        <w:numPr>
          <w:ilvl w:val="1"/>
          <w:numId w:val="1007"/>
        </w:numPr>
        <w:pStyle w:val="Compact"/>
      </w:pPr>
      <w:r>
        <w:t xml:space="preserve">NÃO colocar avisos ostensivos de</w:t>
      </w:r>
      <w:r>
        <w:t xml:space="preserve"> </w:t>
      </w:r>
      <w:r>
        <w:t xml:space="preserve">“</w:t>
      </w:r>
      <w:r>
        <w:t xml:space="preserve">vencimento próximo</w:t>
      </w:r>
      <w:r>
        <w:t xml:space="preserve">”</w:t>
      </w:r>
      <w:r>
        <w:t xml:space="preserve"> </w:t>
      </w:r>
      <w:r>
        <w:t xml:space="preserve">diretamente ao consumidor na área de vendas de medicamentos, mas a equipe deve estar ciente para priorizar a saída.</w:t>
      </w:r>
    </w:p>
    <w:p>
      <w:pPr>
        <w:pStyle w:val="FirstParagraph"/>
      </w:pPr>
      <w:r>
        <w:rPr>
          <w:b/>
        </w:rPr>
        <w:t xml:space="preserve">5.4. Ações Estratégicas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Comunicação Interna:</w:t>
      </w:r>
      <w:r>
        <w:t xml:space="preserve"> </w:t>
      </w:r>
      <w:r>
        <w:t xml:space="preserve">Informar toda a equipe de dispensação/vendas sobre os produtos que estão próximos ao vencimento para que priorizem sua saída.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Prioridade na Dispensação/Venda:</w:t>
      </w:r>
      <w:r>
        <w:t xml:space="preserve"> </w:t>
      </w:r>
      <w:r>
        <w:t xml:space="preserve">Orientar a equipe a sempre verificar a validade e dispensar/vender primeiro os produtos com prazo de validade mais curto (PVPS/FEFO).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Remanejamento (se aplicável):</w:t>
      </w:r>
      <w:r>
        <w:t xml:space="preserve"> </w:t>
      </w:r>
      <w:r>
        <w:t xml:space="preserve">Avaliar a possibilidade de remanejar produtos entre filiais (se for o caso), desde que as condições de transporte adequadas sejam garantidas.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Negociação com Fornecedor (se aplicável):</w:t>
      </w:r>
      <w:r>
        <w:t xml:space="preserve"> </w:t>
      </w:r>
      <w:r>
        <w:t xml:space="preserve">Verificar a política de devolução ou troca de produtos próximos ao vencimento com os distribuidores. Se houver acordo comercial, proceder com a devolução dentro dos prazos e condições estabelecidas pelo fornecedor, documentando o processo.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Promoções (Apenas para Não-Medicamentos):</w:t>
      </w:r>
      <w:r>
        <w:t xml:space="preserve"> </w:t>
      </w:r>
      <w:r>
        <w:t xml:space="preserve">Para produtos como cosméticos, higiene pessoal ou correlatos (verificar permissão legal), avaliar a realização de promoções de preço para acelerar a venda, sempre informando claramente a condição ao consumidor (se exigido pelo CDC) e NUNCA comprometendo a qualidade do produto.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Doações (Avaliar Criteriosamente):</w:t>
      </w:r>
      <w:r>
        <w:t xml:space="preserve"> </w:t>
      </w:r>
      <w:r>
        <w:t xml:space="preserve">A doação de produtos próximos ao vencimento é complexa e deve seguir critérios rigorosos e legislação específica. Geralmente não é uma prática recomendada para drogarias devido aos riscos e responsabilidades envolvidas. Consultar o Conselho de Farmácia e a Vigilância Sanitária local se esta opção for considerada.</w:t>
      </w:r>
    </w:p>
    <w:p>
      <w:pPr>
        <w:pStyle w:val="FirstParagraph"/>
      </w:pPr>
      <w:r>
        <w:rPr>
          <w:b/>
        </w:rPr>
        <w:t xml:space="preserve">5.5. Monitoramento Contínuo</w:t>
      </w:r>
    </w:p>
    <w:p>
      <w:pPr>
        <w:numPr>
          <w:ilvl w:val="0"/>
          <w:numId w:val="1009"/>
        </w:numPr>
        <w:pStyle w:val="Compact"/>
      </w:pPr>
      <w:r>
        <w:t xml:space="preserve">Acompanhar de perto o estoque dos produtos próximos ao vencimento.</w:t>
      </w:r>
    </w:p>
    <w:p>
      <w:pPr>
        <w:numPr>
          <w:ilvl w:val="0"/>
          <w:numId w:val="1009"/>
        </w:numPr>
        <w:pStyle w:val="Compact"/>
      </w:pPr>
      <w:r>
        <w:t xml:space="preserve">Se um produto identificado como</w:t>
      </w:r>
      <w:r>
        <w:t xml:space="preserve"> </w:t>
      </w:r>
      <w:r>
        <w:t xml:space="preserve">“</w:t>
      </w:r>
      <w:r>
        <w:t xml:space="preserve">próximo ao vencimento</w:t>
      </w:r>
      <w:r>
        <w:t xml:space="preserve">”</w:t>
      </w:r>
      <w:r>
        <w:t xml:space="preserve"> </w:t>
      </w:r>
      <w:r>
        <w:t xml:space="preserve">atingir a data de expiração antes de ser dispensado/vendido/devolvido, ele deve ser imediatamente retirado e tratado conforme o POP 005 - Destino dos Produtos com Prazos de Validade Vencidos.</w:t>
      </w:r>
    </w:p>
    <w:p>
      <w:pPr>
        <w:pStyle w:val="FirstParagraph"/>
      </w:pPr>
      <w:r>
        <w:rPr>
          <w:b/>
        </w:rPr>
        <w:t xml:space="preserve">6. MONITORAMENTO E VERIFICAÇÃO</w:t>
      </w:r>
    </w:p>
    <w:p>
      <w:pPr>
        <w:numPr>
          <w:ilvl w:val="0"/>
          <w:numId w:val="1010"/>
        </w:numPr>
        <w:pStyle w:val="Compact"/>
      </w:pPr>
      <w:r>
        <w:t xml:space="preserve">Auditoria periódica das listas/áreas de produtos próximos ao vencimento.</w:t>
      </w:r>
    </w:p>
    <w:p>
      <w:pPr>
        <w:numPr>
          <w:ilvl w:val="0"/>
          <w:numId w:val="1010"/>
        </w:numPr>
        <w:pStyle w:val="Compact"/>
      </w:pPr>
      <w:r>
        <w:t xml:space="preserve">Verificação da aplicação do PVPS/FEFO na prática.</w:t>
      </w:r>
    </w:p>
    <w:p>
      <w:pPr>
        <w:numPr>
          <w:ilvl w:val="0"/>
          <w:numId w:val="1010"/>
        </w:numPr>
        <w:pStyle w:val="Compact"/>
      </w:pPr>
      <w:r>
        <w:t xml:space="preserve">Análise da eficácia das estratégias adotadas (redução de perdas por vencimento).</w:t>
      </w:r>
    </w:p>
    <w:p>
      <w:pPr>
        <w:numPr>
          <w:ilvl w:val="0"/>
          <w:numId w:val="1010"/>
        </w:numPr>
        <w:pStyle w:val="Compact"/>
      </w:pPr>
      <w:r>
        <w:t xml:space="preserve">Conferência dos registros de devolução a fornecedores (se aplicável).</w:t>
      </w:r>
    </w:p>
    <w:p>
      <w:pPr>
        <w:pStyle w:val="FirstParagraph"/>
      </w:pPr>
      <w:r>
        <w:rPr>
          <w:b/>
        </w:rPr>
        <w:t xml:space="preserve">7. REGISTROS</w:t>
      </w:r>
    </w:p>
    <w:p>
      <w:pPr>
        <w:numPr>
          <w:ilvl w:val="0"/>
          <w:numId w:val="1011"/>
        </w:numPr>
        <w:pStyle w:val="Compact"/>
      </w:pPr>
      <w:r>
        <w:t xml:space="preserve">Listas de produtos próximos ao vencimento (geradas pelo sistema ou planilhas manuais).</w:t>
      </w:r>
    </w:p>
    <w:p>
      <w:pPr>
        <w:numPr>
          <w:ilvl w:val="0"/>
          <w:numId w:val="1011"/>
        </w:numPr>
        <w:pStyle w:val="Compact"/>
      </w:pPr>
      <w:r>
        <w:t xml:space="preserve">Registros das ações tomadas (ex: comunicação interna, negociação com fornecedor).</w:t>
      </w:r>
    </w:p>
    <w:p>
      <w:pPr>
        <w:numPr>
          <w:ilvl w:val="0"/>
          <w:numId w:val="1011"/>
        </w:numPr>
        <w:pStyle w:val="Compact"/>
      </w:pPr>
      <w:r>
        <w:t xml:space="preserve">Documentação de devolução de produtos a fornecedores (notas de devolução).</w:t>
      </w:r>
    </w:p>
    <w:p>
      <w:pPr>
        <w:numPr>
          <w:ilvl w:val="0"/>
          <w:numId w:val="1011"/>
        </w:numPr>
        <w:pStyle w:val="Compact"/>
      </w:pPr>
      <w:r>
        <w:t xml:space="preserve">Registros de baixa, caso o produto vença (conforme POP 005).</w:t>
      </w:r>
    </w:p>
    <w:p>
      <w:pPr>
        <w:pStyle w:val="FirstParagraph"/>
      </w:pPr>
      <w:r>
        <w:rPr>
          <w:b/>
        </w:rPr>
        <w:t xml:space="preserve">8. REFERÊNCIAS</w:t>
      </w:r>
    </w:p>
    <w:p>
      <w:pPr>
        <w:numPr>
          <w:ilvl w:val="0"/>
          <w:numId w:val="1012"/>
        </w:numPr>
        <w:pStyle w:val="Compact"/>
      </w:pPr>
      <w:r>
        <w:t xml:space="preserve">Resolução RDC nº 44, de 17 de agosto de 2009 - ANVISA.</w:t>
      </w:r>
    </w:p>
    <w:p>
      <w:pPr>
        <w:numPr>
          <w:ilvl w:val="0"/>
          <w:numId w:val="1012"/>
        </w:numPr>
        <w:pStyle w:val="Compact"/>
      </w:pPr>
      <w:r>
        <w:t xml:space="preserve">Manual de Boas Práticas Farmacêuticas da Drogaria.</w:t>
      </w:r>
    </w:p>
    <w:p>
      <w:pPr>
        <w:numPr>
          <w:ilvl w:val="0"/>
          <w:numId w:val="1012"/>
        </w:numPr>
        <w:pStyle w:val="Compact"/>
      </w:pPr>
      <w:r>
        <w:t xml:space="preserve">Código de Defesa do Consumidor (Lei nº 8.078/1990) - referente a promoções e informação ao consumidor.</w:t>
      </w:r>
    </w:p>
    <w:p>
      <w:pPr>
        <w:pStyle w:val="FirstParagraph"/>
      </w:pPr>
      <w:r>
        <w:rPr>
          <w:b/>
        </w:rPr>
        <w:t xml:space="preserve">9. HISTÓRICO DE REVISÕES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Versão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Data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Descrição da Alteração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Elaborado por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Aprovado por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01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  <w:tc>
          <w:p>
            <w:pPr>
              <w:pStyle w:val="Compact"/>
              <w:jc w:val="left"/>
            </w:pPr>
            <w:r>
              <w:t xml:space="preserve">Emissão inicial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</w:tr>
      <w:tr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Assinatura do Farmacêutico Responsável Técnico: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[Nome Completo e CRF]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2025-06-02T13:30:19Z</dcterms:created>
  <dcterms:modified xsi:type="dcterms:W3CDTF">2025-06-02T13:30:19Z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