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005 - Destino dos Produtos com Prazos de Validade Vencidos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os procedimentos para a identificação, segregação, baixa no estoque e descarte adequado de medicamentos e outros produtos comercializados na drogaria que atingiram seu prazo de validade, garantindo o cumprimento da legislação sanitária (RDC 44/2009, RDC 222/2018) e ambiental, prevenindo o uso indevido e a contaminação.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medicamentos (isentos de prescrição, sob prescrição, controlados - se aplicável) e demais produtos (correlatos, cosméticos, etc.) com prazo de validade expirado, identificados no estoque ou na área de vendas da drogaria.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Supervisionar todo o processo de identificação, segregação e descarte de produtos vencidos. Garantir a correta baixa no sistema de estoque e, quando aplicável, no SNGPC. Assegurar que o descarte seja feito conforme o PGRSS e a legislação. Treinar a equipe.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Funcionários Responsáveis pelo Controle de Validade/Estoque:</w:t>
      </w:r>
      <w:r>
        <w:t xml:space="preserve"> </w:t>
      </w:r>
      <w:r>
        <w:t xml:space="preserve">Realizar a verificação periódica da validade dos produtos. Identificar e separar os produtos vencidos. Preencher os registros de baixa e segregação.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Comunicar imediatamente ao farmacêutico ou responsável pelo estoque a identificação de qualquer produto vencido na área de vendas ou estoque.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Área de segregação específica para produtos vencidos/impróprios, devidamente identificada e com acesso restrito.</w:t>
      </w:r>
    </w:p>
    <w:p>
      <w:pPr>
        <w:numPr>
          <w:ilvl w:val="0"/>
          <w:numId w:val="1002"/>
        </w:numPr>
        <w:pStyle w:val="Compact"/>
      </w:pPr>
      <w:r>
        <w:t xml:space="preserve">Recipientes (caixas, contentores) identificados para armazenamento temporário dos produtos vencidos segregados.</w:t>
      </w:r>
    </w:p>
    <w:p>
      <w:pPr>
        <w:numPr>
          <w:ilvl w:val="0"/>
          <w:numId w:val="1002"/>
        </w:numPr>
        <w:pStyle w:val="Compact"/>
      </w:pPr>
      <w:r>
        <w:t xml:space="preserve">Etiquetas de identificação (</w:t>
      </w:r>
      <w:r>
        <w:t xml:space="preserve">“</w:t>
      </w:r>
      <w:r>
        <w:t xml:space="preserve">PRODUTO VENCIDO - NÃO UTILIZAR/DISPENSAR</w:t>
      </w:r>
      <w:r>
        <w:t xml:space="preserve">”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Sistema informatizado de gestão de estoque (recomendável) ou livro/planilha de controle.</w:t>
      </w:r>
    </w:p>
    <w:p>
      <w:pPr>
        <w:numPr>
          <w:ilvl w:val="0"/>
          <w:numId w:val="1002"/>
        </w:numPr>
        <w:pStyle w:val="Compact"/>
      </w:pPr>
      <w:r>
        <w:t xml:space="preserve">Formulários de Registro de Baixa de Produtos Vencidos.</w:t>
      </w:r>
    </w:p>
    <w:p>
      <w:pPr>
        <w:numPr>
          <w:ilvl w:val="0"/>
          <w:numId w:val="1002"/>
        </w:numPr>
        <w:pStyle w:val="Compact"/>
      </w:pPr>
      <w:r>
        <w:t xml:space="preserve">Material de escritório (canetas).</w:t>
      </w:r>
    </w:p>
    <w:p>
      <w:pPr>
        <w:numPr>
          <w:ilvl w:val="0"/>
          <w:numId w:val="1002"/>
        </w:numPr>
        <w:pStyle w:val="Compact"/>
      </w:pPr>
      <w:r>
        <w:t xml:space="preserve">EPIs (luvas, máscara, se necessário para manuseio de algum produto específico).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Identificação e Segregação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Verificação Periódica:</w:t>
      </w:r>
      <w:r>
        <w:t xml:space="preserve"> </w:t>
      </w:r>
      <w:r>
        <w:t xml:space="preserve">Realizar a verificação sistemática da validade de TODOS os produtos em estoque e na área de exposição, com frequência definida (ex: mensalmente), conforme POP 002 e POP 003.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Identificação:</w:t>
      </w:r>
      <w:r>
        <w:t xml:space="preserve"> </w:t>
      </w:r>
      <w:r>
        <w:t xml:space="preserve">Ao identificar um produto com prazo de validade expirado:</w:t>
      </w:r>
    </w:p>
    <w:p>
      <w:pPr>
        <w:numPr>
          <w:ilvl w:val="1"/>
          <w:numId w:val="1004"/>
        </w:numPr>
        <w:pStyle w:val="Compact"/>
      </w:pPr>
      <w:r>
        <w:t xml:space="preserve">Retirar imediatamente o produto da prateleira de estoque ou da área de exposição.</w:t>
      </w:r>
    </w:p>
    <w:p>
      <w:pPr>
        <w:numPr>
          <w:ilvl w:val="1"/>
          <w:numId w:val="1004"/>
        </w:numPr>
        <w:pStyle w:val="Compact"/>
      </w:pPr>
      <w:r>
        <w:t xml:space="preserve">Conferir os dados do produto (nome, lote, quantidade, data de vencimento).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Segregação:</w:t>
      </w:r>
    </w:p>
    <w:p>
      <w:pPr>
        <w:numPr>
          <w:ilvl w:val="1"/>
          <w:numId w:val="1005"/>
        </w:numPr>
        <w:pStyle w:val="Compact"/>
      </w:pPr>
      <w:r>
        <w:t xml:space="preserve">Levar o produto vencido para a área de segregação designada, que deve ser separada fisicamente dos produtos em condições de uso.</w:t>
      </w:r>
    </w:p>
    <w:p>
      <w:pPr>
        <w:numPr>
          <w:ilvl w:val="1"/>
          <w:numId w:val="1005"/>
        </w:numPr>
        <w:pStyle w:val="Compact"/>
      </w:pPr>
      <w:r>
        <w:t xml:space="preserve">A área deve estar claramente identificada como</w:t>
      </w:r>
      <w:r>
        <w:t xml:space="preserve"> </w:t>
      </w:r>
      <w:r>
        <w:t xml:space="preserve">“</w:t>
      </w:r>
      <w:r>
        <w:t xml:space="preserve">ÁREA DE PRODUTOS VENCIDOS/IMPRÓPRIOS PARA USO</w:t>
      </w:r>
      <w:r>
        <w:t xml:space="preserve">”</w:t>
      </w:r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Acondicionar o produto vencido em recipiente (caixa, contentor) devidamente identificado para este fim.</w:t>
      </w:r>
    </w:p>
    <w:p>
      <w:pPr>
        <w:numPr>
          <w:ilvl w:val="1"/>
          <w:numId w:val="1005"/>
        </w:numPr>
        <w:pStyle w:val="Compact"/>
      </w:pPr>
      <w:r>
        <w:t xml:space="preserve">Afixar uma etiqueta de</w:t>
      </w:r>
      <w:r>
        <w:t xml:space="preserve"> </w:t>
      </w:r>
      <w:r>
        <w:t xml:space="preserve">“</w:t>
      </w:r>
      <w:r>
        <w:t xml:space="preserve">PRODUTO VENCIDO - NÃO UTILIZAR/DISPENSAR</w:t>
      </w:r>
      <w:r>
        <w:t xml:space="preserve">”</w:t>
      </w:r>
      <w:r>
        <w:t xml:space="preserve"> </w:t>
      </w:r>
      <w:r>
        <w:t xml:space="preserve">no produto ou no recipiente coletivo.</w:t>
      </w:r>
    </w:p>
    <w:p>
      <w:pPr>
        <w:pStyle w:val="FirstParagraph"/>
      </w:pPr>
      <w:r>
        <w:rPr>
          <w:b/>
        </w:rPr>
        <w:t xml:space="preserve">5.2. Baixa no Estoque Físico e Contábil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Registrar a retirada do produto vencido em formulário/planilha/sistema apropriado, contendo no mínimo: Data da segregação, Nome do produto, Fabricante, Lote, Quantidade, Data de Vencimento, Motivo da baixa (Vencido) e Assinatura do responsável pela verificação/segregação e do farmacêutico.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Baixa no Sistema:</w:t>
      </w:r>
      <w:r>
        <w:t xml:space="preserve"> </w:t>
      </w:r>
      <w:r>
        <w:t xml:space="preserve">Realizar a baixa do produto no sistema informatizado de controle de estoque, utilizando a opção apropriada para produtos vencidos/perdas.</w:t>
      </w:r>
    </w:p>
    <w:p>
      <w:pPr>
        <w:pStyle w:val="FirstParagraph"/>
      </w:pPr>
      <w:r>
        <w:rPr>
          <w:b/>
        </w:rPr>
        <w:t xml:space="preserve">5.3. Baixa de Medicamentos Sujeitos a Controle Especial (Se aplicável)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Registro Específico:</w:t>
      </w:r>
      <w:r>
        <w:t xml:space="preserve"> </w:t>
      </w:r>
      <w:r>
        <w:t xml:space="preserve">Além do registro geral de baixa, a perda de medicamentos controlados por vencimento deve ser registrada nos livros de escrituração específicos ou sistema informatizado equivalente.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SNGPC:</w:t>
      </w:r>
      <w:r>
        <w:t xml:space="preserve"> </w:t>
      </w:r>
      <w:r>
        <w:t xml:space="preserve">A baixa por vencimento de medicamentos controlados deve ser informada no SNGPC, conforme as normas e prazos estabelecidos pela ANVISA. O farmacêutico é o responsável por essa transmissão.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Documentação para Descarte:</w:t>
      </w:r>
      <w:r>
        <w:t xml:space="preserve"> </w:t>
      </w:r>
      <w:r>
        <w:t xml:space="preserve">A legislação pode exigir documentação adicional ou procedimentos específicos para o descarte de controlados vencidos (ex: necessidade de autorização prévia da vigilância sanitária local para o descarte). Verificar a norma local/estadual.</w:t>
      </w:r>
    </w:p>
    <w:p>
      <w:pPr>
        <w:pStyle w:val="FirstParagraph"/>
      </w:pPr>
      <w:r>
        <w:rPr>
          <w:b/>
        </w:rPr>
        <w:t xml:space="preserve">5.4. Armazenamento Temporário dos Vencidos</w:t>
      </w:r>
    </w:p>
    <w:p>
      <w:pPr>
        <w:numPr>
          <w:ilvl w:val="0"/>
          <w:numId w:val="1008"/>
        </w:numPr>
        <w:pStyle w:val="Compact"/>
      </w:pPr>
      <w:r>
        <w:t xml:space="preserve">Manter os produtos vencidos segregados na área designada, em seus recipientes identificados, até o momento do descarte.</w:t>
      </w:r>
    </w:p>
    <w:p>
      <w:pPr>
        <w:numPr>
          <w:ilvl w:val="0"/>
          <w:numId w:val="1008"/>
        </w:numPr>
        <w:pStyle w:val="Compact"/>
      </w:pPr>
      <w:r>
        <w:t xml:space="preserve">O acesso a esta área deve ser restrito ao farmacêutico e pessoal autorizado.</w:t>
      </w:r>
    </w:p>
    <w:p>
      <w:pPr>
        <w:numPr>
          <w:ilvl w:val="0"/>
          <w:numId w:val="1008"/>
        </w:numPr>
        <w:pStyle w:val="Compact"/>
      </w:pPr>
      <w:r>
        <w:t xml:space="preserve">O período de armazenamento temporário deve ser o mínimo possível, aguardando a coleta pela empresa especializada ou outra forma de descarte definida no PGRSS.</w:t>
      </w:r>
    </w:p>
    <w:p>
      <w:pPr>
        <w:pStyle w:val="FirstParagraph"/>
      </w:pPr>
      <w:r>
        <w:rPr>
          <w:b/>
        </w:rPr>
        <w:t xml:space="preserve">5.5. Descarte Final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PGRSS:</w:t>
      </w:r>
      <w:r>
        <w:t xml:space="preserve"> </w:t>
      </w:r>
      <w:r>
        <w:t xml:space="preserve">O descarte final de TODOS os produtos vencidos (medicamentos, correlatos, cosméticos) deve seguir OBRIGATORIAMENTE o Plano de Gerenciamento de Resíduos de Serviços de Saúde (PGRSS) da drogaria, elaborado conforme a RDC 222/2018.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Medicamentos:</w:t>
      </w:r>
      <w:r>
        <w:t xml:space="preserve"> </w:t>
      </w:r>
      <w:r>
        <w:t xml:space="preserve">Medicamentos vencidos são considerados Resíduos Químicos (Grupo B) e NUNCA devem ser descartados no lixo comum ou na rede de esgoto.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Empresa Especializada:</w:t>
      </w:r>
      <w:r>
        <w:t xml:space="preserve"> </w:t>
      </w:r>
      <w:r>
        <w:t xml:space="preserve">Contratar empresa licenciada pelos órgãos ambientais e sanitários competentes para realizar a coleta, transporte, tratamento e destinação final adequada dos resíduos químicos (medicamentos vencidos).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Documentação de Descarte:</w:t>
      </w:r>
      <w:r>
        <w:t xml:space="preserve"> </w:t>
      </w:r>
      <w:r>
        <w:t xml:space="preserve">Exigir e arquivar o Manifesto de Transporte de Resíduos (MTR) ou documento equivalente emitido pela empresa contratada, comprovando a coleta e destinação final ambientalmente adequada.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Outros Produtos (Correlatos, Cosméticos):</w:t>
      </w:r>
      <w:r>
        <w:t xml:space="preserve"> </w:t>
      </w:r>
      <w:r>
        <w:t xml:space="preserve">Verificar a classificação do resíduo conforme o PGRSS. Alguns podem ser equiparados a resíduos comuns (Grupo D), enquanto outros podem necessitar de tratamento específico. Seguir o fluxo definido no PGRSS.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Embalagens:</w:t>
      </w:r>
      <w:r>
        <w:t xml:space="preserve"> </w:t>
      </w:r>
      <w:r>
        <w:t xml:space="preserve">As embalagens primárias e secundárias dos produtos vencidos geralmente acompanham o produto no descarte especializado. Verificar orientação da empresa coletora e PGRSS.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10"/>
        </w:numPr>
        <w:pStyle w:val="Compact"/>
      </w:pPr>
      <w:r>
        <w:t xml:space="preserve">Auditoria periódica da área de segregados para verificar a correta identificação e armazenamento.</w:t>
      </w:r>
    </w:p>
    <w:p>
      <w:pPr>
        <w:numPr>
          <w:ilvl w:val="0"/>
          <w:numId w:val="1010"/>
        </w:numPr>
        <w:pStyle w:val="Compact"/>
      </w:pPr>
      <w:r>
        <w:t xml:space="preserve">Conferência dos registros de baixa de estoque com os produtos segregados.</w:t>
      </w:r>
    </w:p>
    <w:p>
      <w:pPr>
        <w:numPr>
          <w:ilvl w:val="0"/>
          <w:numId w:val="1010"/>
        </w:numPr>
        <w:pStyle w:val="Compact"/>
      </w:pPr>
      <w:r>
        <w:t xml:space="preserve">Verificação dos registros de baixa no SNGPC (para controlados).</w:t>
      </w:r>
    </w:p>
    <w:p>
      <w:pPr>
        <w:numPr>
          <w:ilvl w:val="0"/>
          <w:numId w:val="1010"/>
        </w:numPr>
        <w:pStyle w:val="Compact"/>
      </w:pPr>
      <w:r>
        <w:t xml:space="preserve">Auditoria dos comprovantes de descarte (MTRs) emitidos pela empresa especializada.</w:t>
      </w:r>
    </w:p>
    <w:p>
      <w:pPr>
        <w:numPr>
          <w:ilvl w:val="0"/>
          <w:numId w:val="1010"/>
        </w:numPr>
        <w:pStyle w:val="Compact"/>
      </w:pPr>
      <w:r>
        <w:t xml:space="preserve">Verificação da frequência e eficácia do controle de validade.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1"/>
        </w:numPr>
        <w:pStyle w:val="Compact"/>
      </w:pPr>
      <w:r>
        <w:t xml:space="preserve">Registros de Baixa de Produtos Vencidos (formulário, planilha ou sistema).</w:t>
      </w:r>
    </w:p>
    <w:p>
      <w:pPr>
        <w:numPr>
          <w:ilvl w:val="0"/>
          <w:numId w:val="1011"/>
        </w:numPr>
        <w:pStyle w:val="Compact"/>
      </w:pPr>
      <w:r>
        <w:t xml:space="preserve">Registros de baixa no SNGPC e escrituração de controlados (quando aplicável).</w:t>
      </w:r>
    </w:p>
    <w:p>
      <w:pPr>
        <w:numPr>
          <w:ilvl w:val="0"/>
          <w:numId w:val="1011"/>
        </w:numPr>
        <w:pStyle w:val="Compact"/>
      </w:pPr>
      <w:r>
        <w:t xml:space="preserve">Manifestos de Transporte de Resíduos (MTR) ou comprovantes de descarte final.</w:t>
      </w:r>
    </w:p>
    <w:p>
      <w:pPr>
        <w:numPr>
          <w:ilvl w:val="0"/>
          <w:numId w:val="1011"/>
        </w:numPr>
        <w:pStyle w:val="Compact"/>
      </w:pPr>
      <w:r>
        <w:t xml:space="preserve">Contrato com a empresa especializada em coleta e tratamento de resíduos.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2"/>
        </w:numPr>
        <w:pStyle w:val="Compact"/>
      </w:pPr>
      <w:r>
        <w:t xml:space="preserve">Resolução RDC nº 44, de 17 de agosto de 2009 - ANVISA.</w:t>
      </w:r>
    </w:p>
    <w:p>
      <w:pPr>
        <w:numPr>
          <w:ilvl w:val="0"/>
          <w:numId w:val="1012"/>
        </w:numPr>
        <w:pStyle w:val="Compact"/>
      </w:pPr>
      <w:r>
        <w:t xml:space="preserve">Resolução RDC nº 222, de 28 de março de 2018 - Regulamenta as Boas Práticas de Gerenciamento dos Resíduos de Serviços de Saúde.</w:t>
      </w:r>
    </w:p>
    <w:p>
      <w:pPr>
        <w:numPr>
          <w:ilvl w:val="0"/>
          <w:numId w:val="1012"/>
        </w:numPr>
        <w:pStyle w:val="Compact"/>
      </w:pPr>
      <w:r>
        <w:t xml:space="preserve">Portaria SVS/MS nº 344, de 12 de maio de 1998 (e atualizações) - Controle especial.</w:t>
      </w:r>
    </w:p>
    <w:p>
      <w:pPr>
        <w:numPr>
          <w:ilvl w:val="0"/>
          <w:numId w:val="1012"/>
        </w:numPr>
        <w:pStyle w:val="Compact"/>
      </w:pPr>
      <w:r>
        <w:t xml:space="preserve">Legislação ambiental estadual e municipal aplicável ao gerenciamento de resíduos.</w:t>
      </w:r>
    </w:p>
    <w:p>
      <w:pPr>
        <w:numPr>
          <w:ilvl w:val="0"/>
          <w:numId w:val="1012"/>
        </w:numPr>
        <w:pStyle w:val="Compact"/>
      </w:pPr>
      <w:r>
        <w:t xml:space="preserve">Plano de Gerenciamento de Resíduos de Serviços de Saúde (PGRSS) da Drogaria.</w:t>
      </w:r>
    </w:p>
    <w:p>
      <w:pPr>
        <w:numPr>
          <w:ilvl w:val="0"/>
          <w:numId w:val="1012"/>
        </w:numPr>
        <w:pStyle w:val="Compact"/>
      </w:pPr>
      <w:r>
        <w:t xml:space="preserve">Manual de Boas Práticas Farmacêuticas da Drogaria.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