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003 - Exposição e Organização dos Produtos para Comercialização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os procedimentos para a exposição e organização dos medicamentos e demais produtos permitidos na área de vendas da drogaria, garantindo a correta segregação, a manutenção da qualidade, a rastreabilidade, o fácil acesso para a dispensação e o cumprimento das normas sanitárias vigentes, especialmente a RDC 44/2009 da ANVISA.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todas as áreas de exposição de produtos destinadas ao autosserviço (se houver) e às áreas de dispensação sob supervisão do farmacêutico, abrangendo medicamentos isentos de prescrição (MIPs), medicamentos sob prescrição, produtos correlatos, cosméticos e outros produtos permitidos.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Definir e supervisionar a organização dos produtos na área de vendas e dispensação. Garantir a correta segregação dos medicamentos (prescrição vs. isentos). Assegurar que apenas produtos permitidos estejam expostos. Treinar a equipe sobre os critérios de organização e exposição.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Funcionários Responsáveis pela Reposição/Organização:</w:t>
      </w:r>
      <w:r>
        <w:t xml:space="preserve"> </w:t>
      </w:r>
      <w:r>
        <w:t xml:space="preserve">Organizar os produtos nas gôndolas e prateleiras conforme os critérios definidos neste POP. Verificar a limpeza, integridade e validade dos produtos expostos. Aplicar o sistema PVPS/FEFO na reposição. Manter as áreas de exposição limpas e organizadas.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Zelar pela organização geral da área de vendas e dispensação. Comunicar ao farmacêutico qualquer irregularidade observada na exposição dos produtos.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Gôndolas, prateleiras, balcões</w:t>
      </w:r>
    </w:p>
    <w:p>
      <w:pPr>
        <w:numPr>
          <w:ilvl w:val="0"/>
          <w:numId w:val="1002"/>
        </w:numPr>
        <w:pStyle w:val="Compact"/>
      </w:pPr>
      <w:r>
        <w:t xml:space="preserve">Etiquetas de preço e identificação</w:t>
      </w:r>
    </w:p>
    <w:p>
      <w:pPr>
        <w:numPr>
          <w:ilvl w:val="0"/>
          <w:numId w:val="1002"/>
        </w:numPr>
        <w:pStyle w:val="Compact"/>
      </w:pPr>
      <w:r>
        <w:t xml:space="preserve">Sistema de controle de validade (manual ou informatizado)</w:t>
      </w:r>
    </w:p>
    <w:p>
      <w:pPr>
        <w:numPr>
          <w:ilvl w:val="0"/>
          <w:numId w:val="1002"/>
        </w:numPr>
        <w:pStyle w:val="Compact"/>
      </w:pPr>
      <w:r>
        <w:t xml:space="preserve">Material de limpeza apropriado para as gôndolas/prateleiras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Critérios Gerais de Organização e Exposição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Limpeza:</w:t>
      </w:r>
      <w:r>
        <w:t xml:space="preserve"> </w:t>
      </w:r>
      <w:r>
        <w:t xml:space="preserve">As gôndolas, prateleiras e balcões devem ser mantidos limpos e em bom estado de conservação, conforme POP 001.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Iluminação e Ventilação:</w:t>
      </w:r>
      <w:r>
        <w:t xml:space="preserve"> </w:t>
      </w:r>
      <w:r>
        <w:t xml:space="preserve">A área de exposição deve ter iluminação e ventilação adequadas, sem incidência direta de luz solar sobre os produtos.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Identificação:</w:t>
      </w:r>
      <w:r>
        <w:t xml:space="preserve"> </w:t>
      </w:r>
      <w:r>
        <w:t xml:space="preserve">Todos os produtos expostos devem estar devidamente identificados e com preço visível, conforme legislação aplicável (Código de Defesa do Consumidor).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Integridade:</w:t>
      </w:r>
      <w:r>
        <w:t xml:space="preserve"> </w:t>
      </w:r>
      <w:r>
        <w:t xml:space="preserve">Somente produtos com embalagens íntegras e em perfeitas condições podem ser expostos.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Validade:</w:t>
      </w:r>
      <w:r>
        <w:t xml:space="preserve"> </w:t>
      </w:r>
      <w:r>
        <w:t xml:space="preserve">Verificar a validade dos produtos antes de expô-los. Implementar o sistema PVPS/FEFO na organização das prateleiras (produtos com vencimento mais próximo na frente).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Temperatura:</w:t>
      </w:r>
      <w:r>
        <w:t xml:space="preserve"> </w:t>
      </w:r>
      <w:r>
        <w:t xml:space="preserve">Produtos que exigem condições especiais de temperatura (termolábeis) NÃO devem ser expostos na área de vendas comum, permanecendo armazenados em refrigerador apropriado até o momento da dispensação.</w:t>
      </w:r>
    </w:p>
    <w:p>
      <w:pPr>
        <w:pStyle w:val="FirstParagraph"/>
      </w:pPr>
      <w:r>
        <w:rPr>
          <w:b/>
        </w:rPr>
        <w:t xml:space="preserve">5.2. Organização por Categoria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Agrupamento:</w:t>
      </w:r>
      <w:r>
        <w:t xml:space="preserve"> </w:t>
      </w:r>
      <w:r>
        <w:t xml:space="preserve">Organizar os produtos por categorias (ex: medicamentos, higiene pessoal, cosméticos, correlatos, infantil, etc.) para facilitar a localização pelo consumidor e pela equipe.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Medicamentos: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Segregação OBRIGATÓRIA:</w:t>
      </w:r>
      <w:r>
        <w:t xml:space="preserve"> </w:t>
      </w:r>
      <w:r>
        <w:t xml:space="preserve">Os medicamentos devem estar SEPARADOS dos demais produtos (cosméticos, alimentos, produtos de higiene, correlatos).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Localização:</w:t>
      </w:r>
      <w:r>
        <w:t xml:space="preserve"> </w:t>
      </w:r>
      <w:r>
        <w:t xml:space="preserve">Os medicamentos devem permanecer atrás do balcão, em área de acesso restrito aos funcionários, sob supervisão direta do farmacêutico.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Exceção (MIPs):</w:t>
      </w:r>
      <w:r>
        <w:t xml:space="preserve"> </w:t>
      </w:r>
      <w:r>
        <w:t xml:space="preserve">Medicamentos isentos de prescrição (MIPs) podem ficar ao alcance dos usuários em gôndolas de autosserviço, DESDE QUE permaneçam em área visível e sob supervisão do farmacêutico, separados dos demais produtos e devidamente identificados como medicamentos.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Medicamentos sob Prescrição:</w:t>
      </w:r>
      <w:r>
        <w:t xml:space="preserve"> </w:t>
      </w:r>
      <w:r>
        <w:t xml:space="preserve">Devem OBRIGATORIAMENTE permanecer em área de acesso restrito aos funcionários (atrás do balcão), NUNCA ao alcance direto dos usuários.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Medicamentos sob Controle Especial (Portaria 344/98):</w:t>
      </w:r>
      <w:r>
        <w:t xml:space="preserve"> </w:t>
      </w:r>
      <w:r>
        <w:t xml:space="preserve">Devem permanecer guardados em armário exclusivo, resistente e trancado, fora da área de exposição, conforme POP 002 e legislação específica.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Organização Interna (Medicamentos):</w:t>
      </w:r>
      <w:r>
        <w:t xml:space="preserve"> </w:t>
      </w:r>
      <w:r>
        <w:t xml:space="preserve">Podem ser organizados por ordem alfabética, classe terapêutica, forma farmacêutica ou outro critério definido pelo farmacêutico, sempre aplicando o PVPS/FEFO.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Demais Produtos (Correlatos, Cosméticos, Higiene, etc.):</w:t>
      </w:r>
      <w:r>
        <w:t xml:space="preserve"> </w:t>
      </w:r>
      <w:r>
        <w:t xml:space="preserve">Podem ser organizados nas gôndolas de autosserviço, agrupados por categoria e tipo, de forma organizada e visualmente agradável.</w:t>
      </w:r>
    </w:p>
    <w:p>
      <w:pPr>
        <w:pStyle w:val="FirstParagraph"/>
      </w:pPr>
      <w:r>
        <w:rPr>
          <w:b/>
        </w:rPr>
        <w:t xml:space="preserve">5.3. Reposição de Produtos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Verificação:</w:t>
      </w:r>
      <w:r>
        <w:t xml:space="preserve"> </w:t>
      </w:r>
      <w:r>
        <w:t xml:space="preserve">Antes de repor, verificar a limpeza da prateleira/gôndola.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PVPS/FEFO:</w:t>
      </w:r>
      <w:r>
        <w:t xml:space="preserve"> </w:t>
      </w:r>
      <w:r>
        <w:t xml:space="preserve">Ao repor, colocar os produtos com data de validade mais recente no fundo da prateleira e os com validade mais próxima à frente.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Integridade e Validade:</w:t>
      </w:r>
      <w:r>
        <w:t xml:space="preserve"> </w:t>
      </w:r>
      <w:r>
        <w:t xml:space="preserve">Verificar novamente a integridade da embalagem e o prazo de validade do produto a ser reposto.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Quantidade:</w:t>
      </w:r>
      <w:r>
        <w:t xml:space="preserve"> </w:t>
      </w:r>
      <w:r>
        <w:t xml:space="preserve">Repor a quantidade adequada para evitar excesso ou falta na gôndola, considerando o giro do produto.</w:t>
      </w:r>
    </w:p>
    <w:p>
      <w:pPr>
        <w:pStyle w:val="FirstParagraph"/>
      </w:pPr>
      <w:r>
        <w:rPr>
          <w:b/>
        </w:rPr>
        <w:t xml:space="preserve">5.4. Controle de Validade na Área de Exposição</w:t>
      </w:r>
    </w:p>
    <w:p>
      <w:pPr>
        <w:numPr>
          <w:ilvl w:val="0"/>
          <w:numId w:val="1007"/>
        </w:numPr>
        <w:pStyle w:val="Compact"/>
      </w:pPr>
      <w:r>
        <w:t xml:space="preserve">Realizar verificações periódicas (ex: semanalmente ou quinzenalmente) da validade dos produtos expostos nas gôndolas e atrás do balcão.</w:t>
      </w:r>
    </w:p>
    <w:p>
      <w:pPr>
        <w:numPr>
          <w:ilvl w:val="0"/>
          <w:numId w:val="1007"/>
        </w:numPr>
        <w:pStyle w:val="Compact"/>
      </w:pPr>
      <w:r>
        <w:t xml:space="preserve">Retirar imediatamente da área de exposição qualquer produto com prazo de validade vencido ou com embalagem danificada.</w:t>
      </w:r>
    </w:p>
    <w:p>
      <w:pPr>
        <w:numPr>
          <w:ilvl w:val="0"/>
          <w:numId w:val="1007"/>
        </w:numPr>
        <w:pStyle w:val="Compact"/>
      </w:pPr>
      <w:r>
        <w:t xml:space="preserve">Segregar os produtos vencidos ou impróprios conforme POP específico (POP 005).</w:t>
      </w:r>
    </w:p>
    <w:p>
      <w:pPr>
        <w:numPr>
          <w:ilvl w:val="0"/>
          <w:numId w:val="1007"/>
        </w:numPr>
        <w:pStyle w:val="Compact"/>
      </w:pPr>
      <w:r>
        <w:t xml:space="preserve">Identificar e tratar produtos próximos ao vencimento conforme POP específico (POP 006).</w:t>
      </w:r>
    </w:p>
    <w:p>
      <w:pPr>
        <w:pStyle w:val="FirstParagraph"/>
      </w:pPr>
      <w:r>
        <w:rPr>
          <w:b/>
        </w:rPr>
        <w:t xml:space="preserve">5.5. Produtos Promocionais e Pontas de Gôndola</w:t>
      </w:r>
    </w:p>
    <w:p>
      <w:pPr>
        <w:numPr>
          <w:ilvl w:val="0"/>
          <w:numId w:val="1008"/>
        </w:numPr>
        <w:pStyle w:val="Compact"/>
      </w:pPr>
      <w:r>
        <w:t xml:space="preserve">A exposição de produtos em promoção ou em pontos de destaque (pontas de gôndola) deve seguir os mesmos critérios de organização, segregação (especialmente para MIPs) e controle de validade.</w:t>
      </w:r>
    </w:p>
    <w:p>
      <w:pPr>
        <w:numPr>
          <w:ilvl w:val="0"/>
          <w:numId w:val="1008"/>
        </w:numPr>
        <w:pStyle w:val="Compact"/>
      </w:pPr>
      <w:r>
        <w:t xml:space="preserve">É VEDADA a exposição ostensiva de medicamentos sob prescrição.</w:t>
      </w:r>
    </w:p>
    <w:p>
      <w:pPr>
        <w:numPr>
          <w:ilvl w:val="0"/>
          <w:numId w:val="1008"/>
        </w:numPr>
        <w:pStyle w:val="Compact"/>
      </w:pPr>
      <w:r>
        <w:t xml:space="preserve">Propaganda e publicidade de produtos devem seguir legislação específica da ANVISA.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09"/>
        </w:numPr>
        <w:pStyle w:val="Compact"/>
      </w:pPr>
      <w:r>
        <w:t xml:space="preserve">Inspeção visual diária da organização e limpeza da área de vendas/dispensação pelo farmacêutico.</w:t>
      </w:r>
    </w:p>
    <w:p>
      <w:pPr>
        <w:numPr>
          <w:ilvl w:val="0"/>
          <w:numId w:val="1009"/>
        </w:numPr>
        <w:pStyle w:val="Compact"/>
      </w:pPr>
      <w:r>
        <w:t xml:space="preserve">Verificação periódica da correta segregação dos medicamentos.</w:t>
      </w:r>
    </w:p>
    <w:p>
      <w:pPr>
        <w:numPr>
          <w:ilvl w:val="0"/>
          <w:numId w:val="1009"/>
        </w:numPr>
        <w:pStyle w:val="Compact"/>
      </w:pPr>
      <w:r>
        <w:t xml:space="preserve">Auditoria semanal/quinzenal da validade dos produtos expostos.</w:t>
      </w:r>
    </w:p>
    <w:p>
      <w:pPr>
        <w:numPr>
          <w:ilvl w:val="0"/>
          <w:numId w:val="1009"/>
        </w:numPr>
        <w:pStyle w:val="Compact"/>
      </w:pPr>
      <w:r>
        <w:t xml:space="preserve">Verificação da aplicação do PVPS/FEFO durante a reposição.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0"/>
        </w:numPr>
        <w:pStyle w:val="Compact"/>
      </w:pPr>
      <w:r>
        <w:t xml:space="preserve">Registros de controle de validade da área de exposição (planilha ou sistema).</w:t>
      </w:r>
    </w:p>
    <w:p>
      <w:pPr>
        <w:numPr>
          <w:ilvl w:val="0"/>
          <w:numId w:val="1010"/>
        </w:numPr>
        <w:pStyle w:val="Compact"/>
      </w:pPr>
      <w:r>
        <w:t xml:space="preserve">Registros de retirada de produtos vencidos/impróprios da área de exposição.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1"/>
        </w:numPr>
        <w:pStyle w:val="Compact"/>
      </w:pPr>
      <w:r>
        <w:t xml:space="preserve">Resolução RDC nº 44, de 17 de agosto de 2009 - ANVISA. Dispõe sobre Boas Práticas Farmacêuticas.</w:t>
      </w:r>
    </w:p>
    <w:p>
      <w:pPr>
        <w:numPr>
          <w:ilvl w:val="0"/>
          <w:numId w:val="1011"/>
        </w:numPr>
        <w:pStyle w:val="Compact"/>
      </w:pPr>
      <w:r>
        <w:t xml:space="preserve">Lei nº 5.991, de 17 de dezembro de 1973 - Dispõe sobre o Controle Sanitário do Comércio de Drogas, Medicamentos, Insumos Farmacêuticos e Correlatos.</w:t>
      </w:r>
    </w:p>
    <w:p>
      <w:pPr>
        <w:numPr>
          <w:ilvl w:val="0"/>
          <w:numId w:val="1011"/>
        </w:numPr>
        <w:pStyle w:val="Compact"/>
      </w:pPr>
      <w:r>
        <w:t xml:space="preserve">Lei nº 13.021, de 8 de agosto de 2014 - Dispõe sobre o exercício e a fiscalização das atividades farmacêuticas.</w:t>
      </w:r>
    </w:p>
    <w:p>
      <w:pPr>
        <w:numPr>
          <w:ilvl w:val="0"/>
          <w:numId w:val="1011"/>
        </w:numPr>
        <w:pStyle w:val="Compact"/>
      </w:pPr>
      <w:r>
        <w:t xml:space="preserve">Resolução RDC nº 96, de 17 de dezembro de 2008 - Dispõe sobre a propaganda, publicidade, informação e outras práticas cujo objetivo seja a divulgação ou promoção comercial de medicamentos.</w:t>
      </w:r>
    </w:p>
    <w:p>
      <w:pPr>
        <w:numPr>
          <w:ilvl w:val="0"/>
          <w:numId w:val="1011"/>
        </w:numPr>
        <w:pStyle w:val="Compact"/>
      </w:pPr>
      <w:r>
        <w:t xml:space="preserve">Manual de Boas Práticas Farmacêuticas da Drogaria.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