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modelo-de-cartaz---ctz-02"/>
      <w:r>
        <w:t xml:space="preserve">Modelo de Cartaz - CTZ 02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Atenção aos Produtos Próximos ao Vencimento!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PRODUTOS COM DESCONTO ESPECIAL!</w:t>
      </w:r>
    </w:p>
    <w:p>
      <w:pPr>
        <w:pStyle w:val="BodyText"/>
      </w:pPr>
      <w:r>
        <w:t xml:space="preserve">Nesta seção, você encontra produtos com data de validade próxima.</w:t>
      </w:r>
    </w:p>
    <w:p>
      <w:pPr>
        <w:pStyle w:val="BodyText"/>
      </w:pPr>
      <w:r>
        <w:rPr>
          <w:b/>
        </w:rPr>
        <w:t xml:space="preserve">Verifique atentamente a data de validade antes de comprar.</w:t>
      </w:r>
    </w:p>
    <w:p>
      <w:pPr>
        <w:pStyle w:val="BodyText"/>
      </w:pPr>
      <w:r>
        <w:rPr>
          <w:b/>
        </w:rPr>
        <w:t xml:space="preserve">Certifique-se de que você conseguirá utilizar o produto ANTES do prazo de vencimento expirar.</w:t>
      </w:r>
    </w:p>
    <w:p>
      <w:pPr>
        <w:pStyle w:val="BodyText"/>
      </w:pPr>
      <w:r>
        <w:rPr>
          <w:b/>
        </w:rPr>
        <w:t xml:space="preserve">Por que comprar?</w:t>
      </w:r>
    </w:p>
    <w:p>
      <w:pPr>
        <w:numPr>
          <w:ilvl w:val="0"/>
          <w:numId w:val="1001"/>
        </w:numPr>
        <w:pStyle w:val="Compact"/>
      </w:pPr>
      <w:r>
        <w:t xml:space="preserve">Ótima oportunidade de economizar!</w:t>
      </w:r>
    </w:p>
    <w:p>
      <w:pPr>
        <w:numPr>
          <w:ilvl w:val="0"/>
          <w:numId w:val="1001"/>
        </w:numPr>
        <w:pStyle w:val="Compact"/>
      </w:pPr>
      <w:r>
        <w:t xml:space="preserve">Evita o desperdício de produtos ainda seguros e eficazes.</w:t>
      </w:r>
    </w:p>
    <w:p>
      <w:pPr>
        <w:pStyle w:val="FirstParagraph"/>
      </w:pPr>
      <w:r>
        <w:rPr>
          <w:b/>
        </w:rPr>
        <w:t xml:space="preserve">Importante:</w:t>
      </w:r>
    </w:p>
    <w:p>
      <w:pPr>
        <w:numPr>
          <w:ilvl w:val="0"/>
          <w:numId w:val="1002"/>
        </w:numPr>
        <w:pStyle w:val="Compact"/>
      </w:pPr>
      <w:r>
        <w:t xml:space="preserve">Estes produtos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podem ser trocados após a compra (exceto por defeito de fabricação não relacionado à validade).</w:t>
      </w:r>
    </w:p>
    <w:p>
      <w:pPr>
        <w:numPr>
          <w:ilvl w:val="0"/>
          <w:numId w:val="1002"/>
        </w:numPr>
        <w:pStyle w:val="Compact"/>
      </w:pPr>
      <w:r>
        <w:t xml:space="preserve">O consumo/uso após a data de validade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é recomendado e pode ser prejudicial à saúde.</w:t>
      </w:r>
    </w:p>
    <w:p>
      <w:pPr>
        <w:pStyle w:val="FirstParagraph"/>
      </w:pPr>
      <w:r>
        <w:rPr>
          <w:b/>
        </w:rPr>
        <w:t xml:space="preserve">Em caso de dúvidas, consulte o Farmacêutico.</w:t>
      </w:r>
    </w:p>
    <w:p>
      <w:pPr>
        <w:pStyle w:val="BodyText"/>
      </w:pPr>
      <w:r>
        <w:rPr>
          <w:b/>
        </w:rPr>
        <w:t xml:space="preserve">[Nome da Drogaria]</w:t>
      </w:r>
      <w:r>
        <w:t xml:space="preserve"> </w:t>
      </w:r>
      <w:r>
        <w:rPr>
          <w:b/>
        </w:rPr>
        <w:t xml:space="preserve">Farmacêutico Responsável:</w:t>
      </w:r>
      <w:r>
        <w:t xml:space="preserve"> </w:t>
      </w:r>
      <w:r>
        <w:t xml:space="preserve">[Nome do RT] - CRF: [Número]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2025-06-02T13:30:17Z</dcterms:created>
  <dcterms:modified xsi:type="dcterms:W3CDTF">2025-06-02T13:30:17Z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